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3EAB7">
      <w:pPr>
        <w:jc w:val="center"/>
        <w:rPr>
          <w:rFonts w:hint="default" w:ascii="宋体" w:hAnsi="宋体"/>
          <w:b/>
          <w:sz w:val="52"/>
          <w:szCs w:val="52"/>
          <w:highlight w:val="none"/>
          <w:lang w:val="en-US"/>
        </w:rPr>
      </w:pPr>
      <w:bookmarkStart w:id="0" w:name="_Toc30186"/>
      <w:bookmarkStart w:id="1" w:name="_Toc28964"/>
      <w:bookmarkStart w:id="2" w:name="_Toc363199264"/>
      <w:bookmarkStart w:id="3" w:name="_Toc216158623"/>
      <w:r>
        <w:rPr>
          <w:rFonts w:hint="eastAsia" w:ascii="黑体" w:hAnsi="黑体" w:eastAsia="黑体" w:cs="黑体"/>
          <w:b w:val="0"/>
          <w:bCs/>
          <w:sz w:val="52"/>
          <w:szCs w:val="52"/>
          <w:highlight w:val="none"/>
          <w:lang w:eastAsia="zh-CN"/>
        </w:rPr>
        <w:t>霍山县社会福利中心升级改造项目-电梯采购与安装工程</w:t>
      </w:r>
    </w:p>
    <w:p w14:paraId="160E78C7">
      <w:pPr>
        <w:jc w:val="center"/>
        <w:rPr>
          <w:rFonts w:hint="eastAsia" w:ascii="宋体" w:hAnsi="宋体"/>
          <w:b/>
          <w:sz w:val="52"/>
          <w:szCs w:val="52"/>
          <w:highlight w:val="none"/>
        </w:rPr>
      </w:pPr>
    </w:p>
    <w:p w14:paraId="4020DD06">
      <w:pPr>
        <w:jc w:val="center"/>
        <w:rPr>
          <w:rFonts w:ascii="宋体" w:hAnsi="宋体"/>
          <w:b/>
          <w:sz w:val="52"/>
          <w:szCs w:val="52"/>
          <w:highlight w:val="none"/>
        </w:rPr>
      </w:pPr>
      <w:r>
        <w:rPr>
          <w:rFonts w:hint="eastAsia" w:ascii="宋体" w:hAnsi="宋体"/>
          <w:b/>
          <w:sz w:val="52"/>
          <w:szCs w:val="52"/>
          <w:highlight w:val="none"/>
        </w:rPr>
        <w:t>谈</w:t>
      </w:r>
    </w:p>
    <w:p w14:paraId="27CFF9AF">
      <w:pPr>
        <w:jc w:val="center"/>
        <w:rPr>
          <w:rFonts w:ascii="宋体" w:hAnsi="宋体"/>
          <w:b/>
          <w:sz w:val="52"/>
          <w:szCs w:val="52"/>
          <w:highlight w:val="none"/>
        </w:rPr>
      </w:pPr>
    </w:p>
    <w:p w14:paraId="5CF95BB6">
      <w:pPr>
        <w:jc w:val="center"/>
        <w:rPr>
          <w:rFonts w:ascii="宋体" w:hAnsi="宋体"/>
          <w:b/>
          <w:sz w:val="52"/>
          <w:szCs w:val="52"/>
          <w:highlight w:val="none"/>
        </w:rPr>
      </w:pPr>
      <w:r>
        <w:rPr>
          <w:rFonts w:hint="eastAsia" w:ascii="宋体" w:hAnsi="宋体"/>
          <w:b/>
          <w:sz w:val="52"/>
          <w:szCs w:val="52"/>
          <w:highlight w:val="none"/>
        </w:rPr>
        <w:t>判</w:t>
      </w:r>
    </w:p>
    <w:p w14:paraId="1397BDA7">
      <w:pPr>
        <w:rPr>
          <w:highlight w:val="none"/>
        </w:rPr>
      </w:pPr>
    </w:p>
    <w:p w14:paraId="6D9F0242">
      <w:pPr>
        <w:jc w:val="center"/>
        <w:rPr>
          <w:rFonts w:ascii="宋体" w:hAnsi="宋体"/>
          <w:b/>
          <w:sz w:val="52"/>
          <w:szCs w:val="52"/>
          <w:highlight w:val="none"/>
        </w:rPr>
      </w:pPr>
      <w:r>
        <w:rPr>
          <w:rFonts w:hint="eastAsia" w:ascii="宋体" w:hAnsi="宋体"/>
          <w:b/>
          <w:sz w:val="52"/>
          <w:szCs w:val="52"/>
          <w:highlight w:val="none"/>
        </w:rPr>
        <w:t>文</w:t>
      </w:r>
    </w:p>
    <w:p w14:paraId="0B7CFFE6">
      <w:pPr>
        <w:jc w:val="center"/>
        <w:rPr>
          <w:rFonts w:ascii="宋体" w:hAnsi="宋体"/>
          <w:b/>
          <w:sz w:val="52"/>
          <w:szCs w:val="52"/>
          <w:highlight w:val="none"/>
        </w:rPr>
      </w:pPr>
    </w:p>
    <w:p w14:paraId="067521D9">
      <w:pPr>
        <w:jc w:val="center"/>
        <w:rPr>
          <w:rFonts w:ascii="宋体" w:hAnsi="宋体"/>
          <w:b/>
          <w:sz w:val="52"/>
          <w:szCs w:val="52"/>
          <w:highlight w:val="none"/>
        </w:rPr>
      </w:pPr>
      <w:r>
        <w:rPr>
          <w:rFonts w:hint="eastAsia" w:ascii="宋体" w:hAnsi="宋体"/>
          <w:b/>
          <w:sz w:val="52"/>
          <w:szCs w:val="52"/>
          <w:highlight w:val="none"/>
        </w:rPr>
        <w:t>件</w:t>
      </w:r>
    </w:p>
    <w:p w14:paraId="218644FB">
      <w:pPr>
        <w:spacing w:line="400" w:lineRule="exact"/>
        <w:ind w:firstLine="2570" w:firstLineChars="800"/>
        <w:rPr>
          <w:rFonts w:hint="eastAsia" w:ascii="宋体" w:hAnsi="宋体"/>
          <w:b/>
          <w:sz w:val="32"/>
          <w:szCs w:val="15"/>
          <w:highlight w:val="none"/>
          <w:lang w:val="en-US" w:eastAsia="zh-CN"/>
        </w:rPr>
      </w:pPr>
    </w:p>
    <w:p w14:paraId="0BFC1BF6">
      <w:pPr>
        <w:rPr>
          <w:rFonts w:hint="eastAsia" w:ascii="宋体" w:hAnsi="宋体"/>
          <w:b/>
          <w:sz w:val="32"/>
          <w:szCs w:val="15"/>
          <w:highlight w:val="none"/>
          <w:lang w:val="en-US" w:eastAsia="zh-CN"/>
        </w:rPr>
      </w:pPr>
    </w:p>
    <w:p w14:paraId="080C45CD">
      <w:pPr>
        <w:rPr>
          <w:rFonts w:hint="eastAsia" w:ascii="宋体" w:hAnsi="宋体"/>
          <w:b/>
          <w:sz w:val="32"/>
          <w:szCs w:val="15"/>
          <w:highlight w:val="none"/>
          <w:lang w:val="en-US" w:eastAsia="zh-CN"/>
        </w:rPr>
      </w:pPr>
    </w:p>
    <w:p w14:paraId="50E1193E">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cs="宋体"/>
          <w:b/>
          <w:bCs/>
          <w:color w:val="auto"/>
          <w:sz w:val="32"/>
          <w:szCs w:val="32"/>
          <w:highlight w:val="none"/>
          <w:lang w:val="en-US" w:eastAsia="zh-CN"/>
        </w:rPr>
        <w:t>项目编号：AHZH-2026-014</w:t>
      </w:r>
      <w:r>
        <w:rPr>
          <w:rFonts w:hint="eastAsia" w:ascii="宋体" w:hAnsi="宋体" w:eastAsia="宋体" w:cs="宋体"/>
          <w:b/>
          <w:bCs/>
          <w:color w:val="auto"/>
          <w:sz w:val="32"/>
          <w:szCs w:val="32"/>
          <w:highlight w:val="none"/>
          <w:lang w:val="en-US" w:eastAsia="zh-CN"/>
        </w:rPr>
        <w:t xml:space="preserve"> </w:t>
      </w:r>
    </w:p>
    <w:p w14:paraId="3DEC1B66">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eastAsia="zh-CN"/>
        </w:rPr>
      </w:pPr>
      <w:r>
        <w:rPr>
          <w:rFonts w:hint="eastAsia" w:ascii="宋体" w:hAnsi="宋体" w:cs="宋体"/>
          <w:b/>
          <w:bCs/>
          <w:color w:val="auto"/>
          <w:sz w:val="32"/>
          <w:szCs w:val="32"/>
          <w:highlight w:val="none"/>
          <w:lang w:val="en-US" w:eastAsia="zh-CN"/>
        </w:rPr>
        <w:t xml:space="preserve">采 购 </w:t>
      </w:r>
      <w:r>
        <w:rPr>
          <w:rFonts w:hint="eastAsia" w:ascii="宋体" w:hAnsi="宋体" w:cs="宋体"/>
          <w:b/>
          <w:bCs/>
          <w:color w:val="auto"/>
          <w:sz w:val="32"/>
          <w:szCs w:val="32"/>
          <w:highlight w:val="none"/>
        </w:rPr>
        <w:t>人：</w:t>
      </w:r>
      <w:r>
        <w:rPr>
          <w:rFonts w:hint="eastAsia" w:ascii="宋体" w:hAnsi="宋体" w:cs="宋体"/>
          <w:b/>
          <w:bCs/>
          <w:color w:val="auto"/>
          <w:sz w:val="32"/>
          <w:szCs w:val="32"/>
          <w:highlight w:val="none"/>
          <w:lang w:eastAsia="zh-CN"/>
        </w:rPr>
        <w:t>霍山县民政局</w:t>
      </w:r>
    </w:p>
    <w:p w14:paraId="6CF8A07C">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eastAsia="宋体" w:cs="宋体"/>
          <w:b/>
          <w:bCs/>
          <w:color w:val="auto"/>
          <w:kern w:val="2"/>
          <w:sz w:val="32"/>
          <w:szCs w:val="32"/>
          <w:highlight w:val="none"/>
          <w:lang w:val="en-US" w:eastAsia="zh-CN" w:bidi="ar-SA"/>
        </w:rPr>
        <w:t>代理机构：</w:t>
      </w:r>
      <w:r>
        <w:rPr>
          <w:rFonts w:hint="eastAsia" w:ascii="宋体" w:hAnsi="宋体" w:cs="宋体"/>
          <w:b/>
          <w:bCs/>
          <w:color w:val="auto"/>
          <w:sz w:val="32"/>
          <w:szCs w:val="32"/>
          <w:highlight w:val="none"/>
          <w:lang w:val="en-US" w:eastAsia="zh-CN"/>
        </w:rPr>
        <w:t>安徽政华工程咨询有限公司</w:t>
      </w:r>
    </w:p>
    <w:p w14:paraId="61B2D9F9">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ascii="华文中宋" w:hAnsi="华文中宋" w:eastAsia="华文中宋" w:cs="华文中宋"/>
          <w:b w:val="0"/>
          <w:bCs/>
          <w:sz w:val="28"/>
          <w:szCs w:val="28"/>
          <w:highlight w:val="none"/>
        </w:rPr>
        <w:sectPr>
          <w:headerReference r:id="rId3" w:type="first"/>
          <w:footerReference r:id="rId4" w:type="first"/>
          <w:pgSz w:w="11906" w:h="16838"/>
          <w:pgMar w:top="1440" w:right="1080" w:bottom="1440" w:left="1080" w:header="851" w:footer="992" w:gutter="0"/>
          <w:pgBorders>
            <w:top w:val="none" w:sz="0" w:space="0"/>
            <w:left w:val="none" w:sz="0" w:space="0"/>
            <w:bottom w:val="none" w:sz="0" w:space="0"/>
            <w:right w:val="none" w:sz="0" w:space="0"/>
          </w:pgBorders>
          <w:pgNumType w:start="1"/>
          <w:cols w:space="720" w:num="1"/>
          <w:titlePg/>
          <w:docGrid w:type="lines" w:linePitch="312" w:charSpace="0"/>
        </w:sectPr>
      </w:pPr>
      <w:r>
        <w:rPr>
          <w:rFonts w:hint="eastAsia" w:ascii="宋体" w:hAnsi="宋体" w:cs="宋体"/>
          <w:b/>
          <w:bCs/>
          <w:color w:val="auto"/>
          <w:sz w:val="32"/>
          <w:szCs w:val="32"/>
          <w:highlight w:val="none"/>
          <w:lang w:val="en-US" w:eastAsia="zh-CN"/>
        </w:rPr>
        <w:t xml:space="preserve">采购时间：2026年5月 </w:t>
      </w:r>
      <w:r>
        <w:rPr>
          <w:rFonts w:hint="eastAsia" w:ascii="宋体" w:hAnsi="宋体" w:cs="宋体"/>
          <w:color w:val="0000FF"/>
          <w:sz w:val="32"/>
          <w:szCs w:val="32"/>
          <w:highlight w:val="none"/>
        </w:rPr>
        <w:t xml:space="preserve">   </w:t>
      </w:r>
      <w:r>
        <w:rPr>
          <w:rFonts w:hint="eastAsia" w:ascii="仿宋" w:hAnsi="仿宋" w:eastAsia="仿宋" w:cs="仿宋"/>
          <w:sz w:val="32"/>
          <w:szCs w:val="32"/>
          <w:highlight w:val="none"/>
        </w:rPr>
        <w:t xml:space="preserve">  </w:t>
      </w:r>
    </w:p>
    <w:p w14:paraId="0B4FD5E6">
      <w:pPr>
        <w:spacing w:before="156" w:beforeLines="50" w:after="156" w:afterLines="50" w:line="520" w:lineRule="exact"/>
        <w:jc w:val="center"/>
        <w:rPr>
          <w:rFonts w:hint="eastAsia" w:ascii="华文中宋" w:hAnsi="华文中宋" w:eastAsia="华文中宋" w:cs="华文中宋"/>
          <w:b w:val="0"/>
          <w:bCs/>
          <w:sz w:val="36"/>
          <w:szCs w:val="36"/>
          <w:highlight w:val="none"/>
          <w:lang w:eastAsia="zh-CN"/>
        </w:rPr>
      </w:pPr>
      <w:r>
        <w:rPr>
          <w:rFonts w:hint="eastAsia" w:ascii="华文中宋" w:hAnsi="华文中宋" w:eastAsia="华文中宋" w:cs="华文中宋"/>
          <w:b w:val="0"/>
          <w:bCs/>
          <w:sz w:val="36"/>
          <w:szCs w:val="36"/>
          <w:highlight w:val="none"/>
          <w:lang w:eastAsia="zh-CN"/>
        </w:rPr>
        <w:t>霍山县社会福利中心升级改造项目-电梯采</w:t>
      </w:r>
      <w:bookmarkStart w:id="71" w:name="_GoBack"/>
      <w:bookmarkEnd w:id="71"/>
      <w:r>
        <w:rPr>
          <w:rFonts w:hint="eastAsia" w:ascii="华文中宋" w:hAnsi="华文中宋" w:eastAsia="华文中宋" w:cs="华文中宋"/>
          <w:b w:val="0"/>
          <w:bCs/>
          <w:sz w:val="36"/>
          <w:szCs w:val="36"/>
          <w:highlight w:val="none"/>
          <w:lang w:eastAsia="zh-CN"/>
        </w:rPr>
        <w:t>购与安装工程</w:t>
      </w:r>
    </w:p>
    <w:p w14:paraId="43B0FDEE">
      <w:pPr>
        <w:spacing w:before="156" w:beforeLines="50" w:after="156" w:afterLines="50" w:line="520" w:lineRule="exact"/>
        <w:jc w:val="center"/>
        <w:rPr>
          <w:rFonts w:hint="eastAsia" w:ascii="华文中宋" w:hAnsi="华文中宋" w:eastAsia="华文中宋" w:cs="华文中宋"/>
          <w:b w:val="0"/>
          <w:bCs/>
          <w:sz w:val="36"/>
          <w:szCs w:val="36"/>
          <w:highlight w:val="none"/>
          <w:lang w:eastAsia="zh-CN"/>
        </w:rPr>
      </w:pPr>
      <w:r>
        <w:rPr>
          <w:rFonts w:hint="eastAsia" w:ascii="华文中宋" w:hAnsi="华文中宋" w:eastAsia="华文中宋" w:cs="华文中宋"/>
          <w:b w:val="0"/>
          <w:bCs/>
          <w:sz w:val="36"/>
          <w:szCs w:val="36"/>
          <w:highlight w:val="none"/>
          <w:lang w:eastAsia="zh-CN"/>
        </w:rPr>
        <w:t>竞争性谈判公告</w:t>
      </w:r>
      <w:bookmarkEnd w:id="0"/>
      <w:bookmarkEnd w:id="1"/>
    </w:p>
    <w:p w14:paraId="4D072FDF">
      <w:pPr>
        <w:keepNext w:val="0"/>
        <w:keepLines w:val="0"/>
        <w:widowControl/>
        <w:suppressLineNumbers w:val="0"/>
        <w:pBdr>
          <w:top w:val="single" w:color="auto" w:sz="4" w:space="1"/>
          <w:left w:val="single" w:color="auto" w:sz="4" w:space="4"/>
          <w:bottom w:val="single" w:color="auto" w:sz="4" w:space="1"/>
          <w:right w:val="single" w:color="auto" w:sz="4" w:space="4"/>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bookmarkStart w:id="4" w:name="_Toc21256"/>
      <w:bookmarkStart w:id="5" w:name="_Toc35393636"/>
      <w:bookmarkStart w:id="6" w:name="_Toc35393805"/>
      <w:bookmarkStart w:id="7" w:name="_Toc28359095"/>
      <w:bookmarkStart w:id="8" w:name="_Toc28359018"/>
      <w:r>
        <w:rPr>
          <w:rFonts w:hint="eastAsia" w:ascii="宋体" w:hAnsi="宋体" w:eastAsia="宋体" w:cs="宋体"/>
          <w:color w:val="333333"/>
          <w:kern w:val="2"/>
          <w:sz w:val="24"/>
          <w:szCs w:val="24"/>
          <w:highlight w:val="none"/>
          <w:shd w:val="clear" w:fill="FFFFFF"/>
          <w:lang w:val="en-US" w:eastAsia="zh-CN" w:bidi="ar"/>
        </w:rPr>
        <w:t>项目概况：</w:t>
      </w:r>
      <w:r>
        <w:rPr>
          <w:rFonts w:hint="eastAsia" w:ascii="宋体" w:hAnsi="宋体" w:cs="宋体"/>
          <w:sz w:val="24"/>
          <w:szCs w:val="24"/>
          <w:highlight w:val="none"/>
          <w:u w:val="single"/>
          <w:lang w:val="en-US" w:eastAsia="zh-CN"/>
        </w:rPr>
        <w:t>霍山县社会福利中心升级改造项目-电梯采购与安装工程（AHZH-2026-014）</w:t>
      </w:r>
      <w:r>
        <w:rPr>
          <w:rFonts w:hint="eastAsia" w:ascii="宋体" w:hAnsi="宋体" w:cs="宋体"/>
          <w:sz w:val="24"/>
          <w:szCs w:val="24"/>
          <w:highlight w:val="none"/>
        </w:rPr>
        <w:t>的</w:t>
      </w:r>
      <w:r>
        <w:rPr>
          <w:rFonts w:hint="eastAsia" w:ascii="宋体" w:hAnsi="宋体" w:cs="宋体"/>
          <w:sz w:val="24"/>
          <w:szCs w:val="24"/>
          <w:highlight w:val="none"/>
          <w:lang w:val="en-US" w:eastAsia="zh-CN"/>
        </w:rPr>
        <w:t>潜在</w:t>
      </w:r>
      <w:r>
        <w:rPr>
          <w:rFonts w:hint="eastAsia" w:ascii="宋体" w:hAnsi="宋体" w:eastAsia="宋体" w:cs="宋体"/>
          <w:color w:val="333333"/>
          <w:kern w:val="2"/>
          <w:sz w:val="24"/>
          <w:szCs w:val="24"/>
          <w:highlight w:val="none"/>
          <w:shd w:val="clear" w:fill="FFFFFF"/>
          <w:lang w:val="en-US" w:eastAsia="zh-CN" w:bidi="ar"/>
        </w:rPr>
        <w:t>供应商应在</w:t>
      </w:r>
      <w:r>
        <w:rPr>
          <w:rFonts w:hint="eastAsia" w:ascii="宋体" w:hAnsi="宋体" w:cs="宋体"/>
          <w:color w:val="333333"/>
          <w:kern w:val="2"/>
          <w:sz w:val="24"/>
          <w:szCs w:val="24"/>
          <w:highlight w:val="none"/>
          <w:u w:val="single"/>
          <w:shd w:val="clear" w:fill="FFFFFF"/>
          <w:lang w:val="en-US" w:eastAsia="zh-CN" w:bidi="ar"/>
        </w:rPr>
        <w:t>安徽政华工程咨询有限公司网站</w:t>
      </w:r>
      <w:r>
        <w:rPr>
          <w:rFonts w:hint="eastAsia" w:ascii="宋体" w:hAnsi="宋体" w:eastAsia="宋体" w:cs="宋体"/>
          <w:color w:val="333333"/>
          <w:kern w:val="2"/>
          <w:sz w:val="24"/>
          <w:szCs w:val="24"/>
          <w:highlight w:val="none"/>
          <w:u w:val="single"/>
          <w:shd w:val="clear" w:fill="FFFFFF"/>
          <w:lang w:val="en-US" w:eastAsia="zh-CN" w:bidi="ar"/>
        </w:rPr>
        <w:t>（</w:t>
      </w:r>
      <w:r>
        <w:rPr>
          <w:rFonts w:hint="eastAsia" w:ascii="宋体" w:hAnsi="宋体" w:cs="宋体"/>
          <w:color w:val="333333"/>
          <w:kern w:val="2"/>
          <w:sz w:val="24"/>
          <w:szCs w:val="24"/>
          <w:highlight w:val="none"/>
          <w:u w:val="single"/>
          <w:shd w:val="clear" w:fill="FFFFFF"/>
          <w:lang w:val="en-US" w:eastAsia="zh-CN" w:bidi="ar"/>
        </w:rPr>
        <w:t>http://www.anhuizhenghua.cn</w:t>
      </w:r>
      <w:r>
        <w:rPr>
          <w:rFonts w:hint="eastAsia" w:ascii="宋体" w:hAnsi="宋体" w:eastAsia="宋体" w:cs="宋体"/>
          <w:color w:val="333333"/>
          <w:kern w:val="2"/>
          <w:sz w:val="24"/>
          <w:szCs w:val="24"/>
          <w:highlight w:val="none"/>
          <w:u w:val="single"/>
          <w:shd w:val="clear" w:fill="FFFFFF"/>
          <w:lang w:val="en-US" w:eastAsia="zh-CN" w:bidi="ar"/>
        </w:rPr>
        <w:t>）</w:t>
      </w:r>
      <w:r>
        <w:rPr>
          <w:rFonts w:hint="eastAsia" w:ascii="宋体" w:hAnsi="宋体" w:eastAsia="宋体" w:cs="宋体"/>
          <w:color w:val="333333"/>
          <w:kern w:val="2"/>
          <w:sz w:val="24"/>
          <w:szCs w:val="24"/>
          <w:highlight w:val="none"/>
          <w:shd w:val="clear" w:fill="FFFFFF"/>
          <w:lang w:val="en-US" w:eastAsia="zh-CN" w:bidi="ar"/>
        </w:rPr>
        <w:t>获取采购文件，并于</w:t>
      </w:r>
      <w:r>
        <w:rPr>
          <w:rFonts w:hint="eastAsia" w:ascii="宋体" w:hAnsi="宋体" w:eastAsia="宋体" w:cs="宋体"/>
          <w:color w:val="333333"/>
          <w:kern w:val="2"/>
          <w:sz w:val="24"/>
          <w:szCs w:val="24"/>
          <w:highlight w:val="none"/>
          <w:u w:val="single"/>
          <w:shd w:val="clear" w:fill="FFFFFF"/>
          <w:lang w:val="en-US" w:eastAsia="zh-CN" w:bidi="ar"/>
        </w:rPr>
        <w:t>2026</w:t>
      </w:r>
      <w:r>
        <w:rPr>
          <w:rFonts w:hint="eastAsia" w:ascii="宋体" w:hAnsi="宋体" w:eastAsia="宋体" w:cs="宋体"/>
          <w:color w:val="333333"/>
          <w:kern w:val="2"/>
          <w:sz w:val="24"/>
          <w:szCs w:val="24"/>
          <w:highlight w:val="none"/>
          <w:u w:val="none"/>
          <w:shd w:val="clear" w:fill="FFFFFF"/>
          <w:lang w:val="en-US" w:eastAsia="zh-CN" w:bidi="ar"/>
        </w:rPr>
        <w:t>年</w:t>
      </w:r>
      <w:r>
        <w:rPr>
          <w:rFonts w:hint="eastAsia" w:ascii="宋体" w:hAnsi="宋体" w:eastAsia="宋体" w:cs="宋体"/>
          <w:color w:val="333333"/>
          <w:kern w:val="2"/>
          <w:sz w:val="24"/>
          <w:szCs w:val="24"/>
          <w:highlight w:val="none"/>
          <w:u w:val="single"/>
          <w:shd w:val="clear" w:fill="FFFFFF"/>
          <w:lang w:val="en-US" w:eastAsia="zh-CN" w:bidi="ar"/>
        </w:rPr>
        <w:t>5</w:t>
      </w:r>
      <w:r>
        <w:rPr>
          <w:rFonts w:hint="eastAsia" w:ascii="宋体" w:hAnsi="宋体" w:eastAsia="宋体" w:cs="宋体"/>
          <w:color w:val="333333"/>
          <w:kern w:val="2"/>
          <w:sz w:val="24"/>
          <w:szCs w:val="24"/>
          <w:highlight w:val="none"/>
          <w:u w:val="none"/>
          <w:shd w:val="clear" w:fill="FFFFFF"/>
          <w:lang w:val="en-US" w:eastAsia="zh-CN" w:bidi="ar"/>
        </w:rPr>
        <w:t>月</w:t>
      </w:r>
      <w:r>
        <w:rPr>
          <w:rFonts w:hint="eastAsia" w:ascii="宋体" w:hAnsi="宋体" w:eastAsia="宋体" w:cs="宋体"/>
          <w:color w:val="333333"/>
          <w:kern w:val="2"/>
          <w:sz w:val="24"/>
          <w:szCs w:val="24"/>
          <w:highlight w:val="none"/>
          <w:u w:val="single"/>
          <w:shd w:val="clear" w:fill="FFFFFF"/>
          <w:lang w:val="en-US" w:eastAsia="zh-CN" w:bidi="ar"/>
        </w:rPr>
        <w:t>18</w:t>
      </w:r>
      <w:r>
        <w:rPr>
          <w:rFonts w:hint="eastAsia" w:ascii="宋体" w:hAnsi="宋体" w:eastAsia="宋体" w:cs="宋体"/>
          <w:color w:val="333333"/>
          <w:kern w:val="2"/>
          <w:sz w:val="24"/>
          <w:szCs w:val="24"/>
          <w:highlight w:val="none"/>
          <w:u w:val="none"/>
          <w:shd w:val="clear" w:fill="FFFFFF"/>
          <w:lang w:val="en-US" w:eastAsia="zh-CN" w:bidi="ar"/>
        </w:rPr>
        <w:t>日</w:t>
      </w:r>
      <w:r>
        <w:rPr>
          <w:rFonts w:hint="eastAsia" w:ascii="宋体" w:hAnsi="宋体" w:cs="宋体"/>
          <w:color w:val="333333"/>
          <w:kern w:val="2"/>
          <w:sz w:val="24"/>
          <w:szCs w:val="24"/>
          <w:highlight w:val="none"/>
          <w:u w:val="single"/>
          <w:shd w:val="clear" w:fill="FFFFFF"/>
          <w:lang w:val="en-US" w:eastAsia="zh-CN" w:bidi="ar"/>
        </w:rPr>
        <w:t>09</w:t>
      </w:r>
      <w:r>
        <w:rPr>
          <w:rFonts w:hint="eastAsia" w:ascii="宋体" w:hAnsi="宋体" w:eastAsia="宋体" w:cs="宋体"/>
          <w:color w:val="333333"/>
          <w:kern w:val="2"/>
          <w:sz w:val="24"/>
          <w:szCs w:val="24"/>
          <w:highlight w:val="none"/>
          <w:u w:val="none"/>
          <w:shd w:val="clear" w:fill="FFFFFF"/>
          <w:lang w:val="en-US" w:eastAsia="zh-CN" w:bidi="ar"/>
        </w:rPr>
        <w:t>点</w:t>
      </w:r>
      <w:r>
        <w:rPr>
          <w:rFonts w:hint="eastAsia" w:ascii="宋体" w:hAnsi="宋体" w:eastAsia="宋体" w:cs="宋体"/>
          <w:color w:val="333333"/>
          <w:kern w:val="2"/>
          <w:sz w:val="24"/>
          <w:szCs w:val="24"/>
          <w:highlight w:val="none"/>
          <w:u w:val="single"/>
          <w:shd w:val="clear" w:fill="FFFFFF"/>
          <w:lang w:val="en-US" w:eastAsia="zh-CN" w:bidi="ar"/>
        </w:rPr>
        <w:t>00</w:t>
      </w:r>
      <w:r>
        <w:rPr>
          <w:rFonts w:hint="eastAsia" w:ascii="宋体" w:hAnsi="宋体" w:eastAsia="宋体" w:cs="宋体"/>
          <w:color w:val="333333"/>
          <w:kern w:val="2"/>
          <w:sz w:val="24"/>
          <w:szCs w:val="24"/>
          <w:highlight w:val="none"/>
          <w:u w:val="none"/>
          <w:shd w:val="clear" w:fill="FFFFFF"/>
          <w:lang w:val="en-US" w:eastAsia="zh-CN" w:bidi="ar"/>
        </w:rPr>
        <w:t>分</w:t>
      </w:r>
      <w:r>
        <w:rPr>
          <w:rFonts w:hint="eastAsia" w:ascii="宋体" w:hAnsi="宋体" w:eastAsia="宋体" w:cs="宋体"/>
          <w:color w:val="333333"/>
          <w:kern w:val="2"/>
          <w:sz w:val="24"/>
          <w:szCs w:val="24"/>
          <w:highlight w:val="none"/>
          <w:shd w:val="clear" w:fill="FFFFFF"/>
          <w:lang w:val="en-US" w:eastAsia="zh-CN" w:bidi="ar"/>
        </w:rPr>
        <w:t>（北京时间）前提交响应文件。</w:t>
      </w:r>
    </w:p>
    <w:p w14:paraId="3F99B5F8">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一、项目基本情况</w:t>
      </w:r>
    </w:p>
    <w:p w14:paraId="4ED1052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1、项目编号：</w:t>
      </w:r>
      <w:r>
        <w:rPr>
          <w:rFonts w:hint="eastAsia" w:ascii="宋体" w:hAnsi="宋体" w:cs="宋体"/>
          <w:color w:val="333333"/>
          <w:kern w:val="2"/>
          <w:sz w:val="24"/>
          <w:szCs w:val="24"/>
          <w:highlight w:val="none"/>
          <w:shd w:val="clear" w:fill="FFFFFF"/>
          <w:lang w:val="en-US" w:eastAsia="zh-CN" w:bidi="ar"/>
        </w:rPr>
        <w:t>AHZH-2026-014</w:t>
      </w:r>
    </w:p>
    <w:p w14:paraId="3A1E95B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default"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2、项目名称：</w:t>
      </w:r>
      <w:r>
        <w:rPr>
          <w:rFonts w:hint="eastAsia" w:ascii="宋体" w:hAnsi="宋体" w:cs="宋体"/>
          <w:color w:val="333333"/>
          <w:kern w:val="2"/>
          <w:sz w:val="24"/>
          <w:szCs w:val="24"/>
          <w:highlight w:val="none"/>
          <w:shd w:val="clear" w:fill="FFFFFF"/>
          <w:lang w:val="en-US" w:eastAsia="zh-CN" w:bidi="ar"/>
        </w:rPr>
        <w:t>霍山县社会福利中心升级改造项目-电梯采购与安装工程</w:t>
      </w:r>
    </w:p>
    <w:p w14:paraId="46D2FCCE">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3、项目类型：货物类</w:t>
      </w:r>
    </w:p>
    <w:p w14:paraId="4825EC30">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4、采购方式：竞争性谈判</w:t>
      </w:r>
    </w:p>
    <w:p w14:paraId="62C4BFD4">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5、预算金额：152000.00元 </w:t>
      </w:r>
    </w:p>
    <w:p w14:paraId="715065C9">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6、最高限价：152000.00元 </w:t>
      </w:r>
    </w:p>
    <w:p w14:paraId="22ED6CD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auto"/>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7、采购需求</w:t>
      </w:r>
      <w:r>
        <w:rPr>
          <w:rFonts w:hint="eastAsia" w:ascii="宋体" w:hAnsi="宋体" w:eastAsia="宋体" w:cs="宋体"/>
          <w:color w:val="auto"/>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霍山县社会福利中心升级改造项目-电梯采购与安装共1台，主要内容为</w:t>
      </w:r>
      <w:r>
        <w:rPr>
          <w:rFonts w:hint="eastAsia" w:ascii="宋体" w:hAnsi="宋体"/>
          <w:bCs/>
          <w:sz w:val="24"/>
          <w:highlight w:val="none"/>
          <w:lang w:val="en-US" w:eastAsia="zh-CN"/>
        </w:rPr>
        <w:t>电梯设备采购</w:t>
      </w:r>
      <w:r>
        <w:rPr>
          <w:rFonts w:hint="eastAsia" w:ascii="宋体" w:hAnsi="宋体" w:cs="宋体"/>
          <w:color w:val="333333"/>
          <w:kern w:val="2"/>
          <w:sz w:val="24"/>
          <w:szCs w:val="24"/>
          <w:highlight w:val="none"/>
          <w:shd w:val="clear" w:fill="FFFFFF"/>
          <w:lang w:val="en-US" w:eastAsia="zh-CN" w:bidi="ar"/>
        </w:rPr>
        <w:t>、包装、运输、安装、单机调试、测试、检验、验收、取证(安徽省特种设备检测院颁发的电梯验收合格证书)、移交、日常维护保修保养、售后跟踪服务等</w:t>
      </w:r>
      <w:r>
        <w:rPr>
          <w:rFonts w:hint="eastAsia" w:ascii="宋体" w:hAnsi="宋体" w:cs="宋体"/>
          <w:color w:val="auto"/>
          <w:kern w:val="2"/>
          <w:sz w:val="24"/>
          <w:szCs w:val="24"/>
          <w:highlight w:val="none"/>
          <w:shd w:val="clear" w:fill="FFFFFF"/>
          <w:lang w:val="en-US" w:eastAsia="zh-CN" w:bidi="ar"/>
        </w:rPr>
        <w:t>，</w:t>
      </w:r>
      <w:r>
        <w:rPr>
          <w:rFonts w:hint="eastAsia" w:ascii="宋体" w:hAnsi="宋体" w:eastAsia="宋体" w:cs="宋体"/>
          <w:color w:val="auto"/>
          <w:kern w:val="2"/>
          <w:sz w:val="24"/>
          <w:szCs w:val="24"/>
          <w:highlight w:val="none"/>
          <w:shd w:val="clear" w:fill="FFFFFF"/>
          <w:lang w:val="en-US" w:eastAsia="zh-CN" w:bidi="ar"/>
        </w:rPr>
        <w:t>具体内容详见采购需求。总造价约15.20万元。</w:t>
      </w:r>
    </w:p>
    <w:p w14:paraId="0480A167">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8、合同履行期限：</w:t>
      </w:r>
      <w:r>
        <w:rPr>
          <w:rFonts w:hint="eastAsia" w:cs="宋体"/>
          <w:b w:val="0"/>
          <w:bCs w:val="0"/>
          <w:sz w:val="24"/>
          <w:szCs w:val="24"/>
          <w:highlight w:val="none"/>
        </w:rPr>
        <w:t>自签发开工令</w:t>
      </w:r>
      <w:r>
        <w:rPr>
          <w:rFonts w:hint="eastAsia" w:ascii="Times New Roman" w:hAnsi="Times New Roman"/>
          <w:b w:val="0"/>
          <w:bCs w:val="0"/>
          <w:kern w:val="2"/>
          <w:sz w:val="24"/>
          <w:szCs w:val="24"/>
          <w:highlight w:val="none"/>
        </w:rPr>
        <w:t>后</w:t>
      </w:r>
      <w:r>
        <w:rPr>
          <w:rFonts w:hint="eastAsia" w:ascii="Times New Roman" w:hAnsi="Times New Roman"/>
          <w:b w:val="0"/>
          <w:bCs w:val="0"/>
          <w:kern w:val="2"/>
          <w:sz w:val="24"/>
          <w:szCs w:val="24"/>
          <w:highlight w:val="none"/>
          <w:lang w:val="en-US" w:eastAsia="zh-CN"/>
        </w:rPr>
        <w:t>30</w:t>
      </w:r>
      <w:r>
        <w:rPr>
          <w:rFonts w:hint="eastAsia" w:ascii="Times New Roman" w:hAnsi="Times New Roman"/>
          <w:b w:val="0"/>
          <w:bCs w:val="0"/>
          <w:kern w:val="2"/>
          <w:sz w:val="24"/>
          <w:szCs w:val="24"/>
          <w:highlight w:val="none"/>
        </w:rPr>
        <w:t>日历天完成全部工作内容</w:t>
      </w:r>
      <w:r>
        <w:rPr>
          <w:rFonts w:hint="eastAsia" w:ascii="宋体" w:hAnsi="宋体" w:eastAsia="宋体" w:cs="宋体"/>
          <w:color w:val="auto"/>
          <w:kern w:val="2"/>
          <w:sz w:val="24"/>
          <w:szCs w:val="24"/>
          <w:highlight w:val="none"/>
          <w:shd w:val="clear" w:fill="FFFFFF"/>
          <w:lang w:val="en-US" w:eastAsia="zh-CN" w:bidi="ar"/>
        </w:rPr>
        <w:t>。</w:t>
      </w:r>
    </w:p>
    <w:p w14:paraId="06D87E27">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9、是否接受联合体：本项目不接受联合体。</w:t>
      </w:r>
    </w:p>
    <w:p w14:paraId="0806FCF6">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二、申请人的资格要求</w:t>
      </w:r>
    </w:p>
    <w:p w14:paraId="36EEDD76">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0" w:lineRule="auto"/>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1、满足《中华人民共和国政府采购法》第二十二条规定；</w:t>
      </w:r>
    </w:p>
    <w:p w14:paraId="2573011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360" w:lineRule="auto"/>
        <w:ind w:left="0" w:leftChars="0" w:right="0" w:firstLine="420" w:firstLineChars="175"/>
        <w:jc w:val="both"/>
        <w:textAlignment w:val="auto"/>
        <w:rPr>
          <w:rFonts w:hint="eastAsia" w:ascii="宋体" w:hAnsi="宋体" w:cs="宋体"/>
          <w:color w:val="333333"/>
          <w:kern w:val="2"/>
          <w:sz w:val="24"/>
          <w:szCs w:val="24"/>
          <w:highlight w:val="none"/>
          <w:shd w:val="clear" w:fill="FFFFFF"/>
          <w:lang w:val="en-US" w:eastAsia="zh-CN" w:bidi="ar"/>
        </w:rPr>
      </w:pPr>
      <w:r>
        <w:rPr>
          <w:rFonts w:hint="eastAsia" w:ascii="宋体" w:hAnsi="宋体" w:cs="宋体"/>
          <w:color w:val="333333"/>
          <w:kern w:val="2"/>
          <w:sz w:val="24"/>
          <w:szCs w:val="24"/>
          <w:highlight w:val="none"/>
          <w:shd w:val="clear" w:fill="FFFFFF"/>
          <w:lang w:val="en-US" w:eastAsia="zh-CN" w:bidi="ar"/>
        </w:rPr>
        <w:t>2、本项目的特定资格要求：具备资格的电梯设备制造商或其授权的代理商。</w:t>
      </w:r>
    </w:p>
    <w:p w14:paraId="457C10E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360" w:lineRule="auto"/>
        <w:ind w:left="0" w:leftChars="0" w:right="0" w:firstLine="420" w:firstLineChars="175"/>
        <w:jc w:val="both"/>
        <w:textAlignment w:val="auto"/>
        <w:rPr>
          <w:rFonts w:hint="eastAsia" w:ascii="宋体" w:hAnsi="宋体" w:cs="宋体"/>
          <w:color w:val="333333"/>
          <w:kern w:val="2"/>
          <w:sz w:val="24"/>
          <w:szCs w:val="24"/>
          <w:highlight w:val="none"/>
          <w:shd w:val="clear" w:fill="FFFFFF"/>
          <w:lang w:val="en-US" w:eastAsia="zh-CN" w:bidi="ar"/>
        </w:rPr>
      </w:pPr>
      <w:r>
        <w:rPr>
          <w:rFonts w:hint="eastAsia" w:ascii="宋体" w:hAnsi="宋体" w:cs="宋体"/>
          <w:color w:val="333333"/>
          <w:kern w:val="2"/>
          <w:sz w:val="24"/>
          <w:szCs w:val="24"/>
          <w:highlight w:val="none"/>
          <w:shd w:val="clear" w:fill="FFFFFF"/>
          <w:lang w:val="en-US" w:eastAsia="zh-CN" w:bidi="ar"/>
        </w:rPr>
        <w:t>（1）投标人若为所投产品制造商，须具有《中华人民共和国特种设备生产许可证》（乘客电梯B级及以上资质），其中许可项目包含电梯制造（含安装、修理、改造），许可子项目包含曳引驱动乘客电梯；</w:t>
      </w:r>
    </w:p>
    <w:p w14:paraId="66F664D6">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right="0" w:firstLine="240" w:firstLineChars="100"/>
        <w:jc w:val="both"/>
        <w:rPr>
          <w:rFonts w:hint="default" w:ascii="宋体" w:hAnsi="宋体" w:cs="宋体"/>
          <w:color w:val="333333"/>
          <w:kern w:val="2"/>
          <w:sz w:val="24"/>
          <w:szCs w:val="24"/>
          <w:highlight w:val="none"/>
          <w:shd w:val="clear" w:fill="FFFFFF"/>
          <w:lang w:val="en-US" w:eastAsia="zh-CN" w:bidi="ar"/>
        </w:rPr>
      </w:pPr>
      <w:r>
        <w:rPr>
          <w:rFonts w:hint="eastAsia" w:ascii="宋体" w:hAnsi="宋体" w:cs="宋体"/>
          <w:color w:val="333333"/>
          <w:kern w:val="2"/>
          <w:sz w:val="24"/>
          <w:szCs w:val="24"/>
          <w:highlight w:val="none"/>
          <w:shd w:val="clear" w:fill="FFFFFF"/>
          <w:lang w:val="en-US" w:eastAsia="zh-CN" w:bidi="ar"/>
        </w:rPr>
        <w:t>（2）投标人若为所投产品代理商，须同时满足下列要求：①所投产品制造商须具有《中华人民共和国特种设备生产许可证》（乘客电梯B级及以上资质），其中许可项目包含电梯制造（含安装、修理、改造），许可子项目包含曳引驱动乘客电梯；②投标人具有《中华人民共和国特种设备生产许可证》，其中许可项目包含电梯安装（含修理），许可子项目包含曳引驱动乘客电梯。</w:t>
      </w:r>
    </w:p>
    <w:p w14:paraId="0605E498">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000000"/>
          <w:kern w:val="0"/>
          <w:sz w:val="24"/>
          <w:szCs w:val="24"/>
          <w:highlight w:val="none"/>
          <w:shd w:val="clear" w:color="auto" w:fill="FFFFFF"/>
          <w:lang w:val="en-US" w:eastAsia="zh-CN" w:bidi="ar"/>
        </w:rPr>
      </w:pPr>
      <w:r>
        <w:rPr>
          <w:rFonts w:hint="eastAsia" w:ascii="宋体" w:hAnsi="宋体" w:eastAsia="宋体" w:cs="宋体"/>
          <w:color w:val="000000"/>
          <w:kern w:val="0"/>
          <w:sz w:val="24"/>
          <w:szCs w:val="24"/>
          <w:highlight w:val="none"/>
          <w:shd w:val="clear" w:color="auto" w:fill="FFFFFF"/>
          <w:lang w:val="en-US" w:eastAsia="zh-CN" w:bidi="ar"/>
        </w:rPr>
        <w:t>3、项目负责人必须是本单位工作人员。承包人需提供所属社保机构出具的包括磋商截止日所属月份（含）为基点起往前计算已经过去的连续5个月内不少于连续缴费3个月的拟委任的</w:t>
      </w:r>
      <w:r>
        <w:rPr>
          <w:rFonts w:hint="eastAsia" w:ascii="宋体" w:hAnsi="宋体" w:eastAsia="宋体" w:cs="宋体"/>
          <w:b/>
          <w:bCs/>
          <w:color w:val="000000"/>
          <w:kern w:val="0"/>
          <w:sz w:val="24"/>
          <w:szCs w:val="24"/>
          <w:highlight w:val="none"/>
          <w:shd w:val="clear" w:color="auto" w:fill="FFFFFF"/>
          <w:lang w:val="en-US" w:eastAsia="zh-CN" w:bidi="ar"/>
        </w:rPr>
        <w:t>项目负责人</w:t>
      </w:r>
      <w:r>
        <w:rPr>
          <w:rFonts w:hint="eastAsia" w:ascii="宋体" w:hAnsi="宋体" w:eastAsia="宋体" w:cs="宋体"/>
          <w:color w:val="000000"/>
          <w:kern w:val="0"/>
          <w:sz w:val="24"/>
          <w:szCs w:val="24"/>
          <w:highlight w:val="none"/>
          <w:shd w:val="clear" w:color="auto" w:fill="FFFFFF"/>
          <w:lang w:val="en-US" w:eastAsia="zh-CN" w:bidi="ar"/>
        </w:rPr>
        <w:t>的社保缴费清单等社保缴费证明原件扫描件（例：7月19日发包，则连续5个月是指7月、6月、5月、4月、3月；连续3个月是指7月、6月、5月或6月、5月、4月或5月、4月、3月，其他类推）。社保缴费证明或提供的社保缴费证明不满足磋商文件要求的，其响应资格无效（如年满60周岁无法提供社保缴费证明的，可提供聘用合同原件扫描件和包括投标截止日所属月份（含）为基点起往前计算已经过去的连续5个月内不少于连续发放3个月的加盖银行印章的能体现聘用企业名称及拟委任项目经理姓名的工资打卡流水账单原件扫描件）。</w:t>
      </w:r>
    </w:p>
    <w:p w14:paraId="0D90E4AD">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2" w:firstLineChars="200"/>
        <w:jc w:val="both"/>
        <w:rPr>
          <w:highlight w:val="none"/>
        </w:rPr>
      </w:pPr>
      <w:r>
        <w:rPr>
          <w:rFonts w:hint="eastAsia" w:ascii="宋体" w:hAnsi="宋体" w:eastAsia="宋体" w:cs="宋体"/>
          <w:b/>
          <w:bCs w:val="0"/>
          <w:color w:val="333333"/>
          <w:kern w:val="2"/>
          <w:sz w:val="24"/>
          <w:szCs w:val="24"/>
          <w:highlight w:val="none"/>
          <w:shd w:val="clear" w:fill="FFFFFF"/>
          <w:lang w:val="en-US" w:eastAsia="zh-CN" w:bidi="ar"/>
        </w:rPr>
        <w:t>三、获取采购文件</w:t>
      </w:r>
    </w:p>
    <w:p w14:paraId="408ACD0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u w:val="none"/>
        </w:rPr>
      </w:pPr>
      <w:r>
        <w:rPr>
          <w:rFonts w:hint="eastAsia" w:ascii="宋体" w:hAnsi="宋体" w:eastAsia="宋体" w:cs="宋体"/>
          <w:color w:val="333333"/>
          <w:kern w:val="2"/>
          <w:sz w:val="24"/>
          <w:szCs w:val="24"/>
          <w:highlight w:val="none"/>
          <w:shd w:val="clear" w:fill="FFFFFF"/>
          <w:lang w:val="en-US" w:eastAsia="zh-CN" w:bidi="ar"/>
        </w:rPr>
        <w:t>1、时间：</w:t>
      </w:r>
      <w:r>
        <w:rPr>
          <w:rFonts w:hint="eastAsia" w:ascii="宋体" w:hAnsi="宋体" w:eastAsia="宋体" w:cs="宋体"/>
          <w:bCs/>
          <w:color w:val="333333"/>
          <w:kern w:val="2"/>
          <w:sz w:val="24"/>
          <w:szCs w:val="24"/>
          <w:highlight w:val="none"/>
          <w:u w:val="none"/>
          <w:shd w:val="clear" w:fill="FFFFFF"/>
          <w:lang w:val="en-US" w:eastAsia="zh-CN" w:bidi="ar"/>
        </w:rPr>
        <w:t>自公告发布之日起至谈判时间前</w:t>
      </w:r>
    </w:p>
    <w:p w14:paraId="338C6422">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w:t>
      </w:r>
    </w:p>
    <w:p w14:paraId="46757AA1">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4、售价：零元</w:t>
      </w:r>
    </w:p>
    <w:p w14:paraId="48101D98">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四、响应文件提交</w:t>
      </w:r>
    </w:p>
    <w:p w14:paraId="69C60B01">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w:t>
      </w:r>
      <w:r>
        <w:rPr>
          <w:rFonts w:hint="eastAsia" w:ascii="宋体" w:hAnsi="宋体" w:cs="宋体"/>
          <w:sz w:val="24"/>
          <w:szCs w:val="24"/>
          <w:highlight w:val="none"/>
        </w:rPr>
        <w:t>递交截止时间：</w:t>
      </w:r>
      <w:r>
        <w:rPr>
          <w:rFonts w:hint="eastAsia" w:ascii="宋体" w:hAnsi="宋体" w:cs="宋体"/>
          <w:sz w:val="24"/>
          <w:szCs w:val="24"/>
          <w:highlight w:val="none"/>
          <w:lang w:eastAsia="zh-CN"/>
        </w:rPr>
        <w:t>2026年</w:t>
      </w:r>
      <w:r>
        <w:rPr>
          <w:rFonts w:hint="eastAsia" w:ascii="宋体" w:hAnsi="宋体" w:cs="宋体"/>
          <w:sz w:val="24"/>
          <w:szCs w:val="24"/>
          <w:highlight w:val="none"/>
          <w:lang w:val="en-US" w:eastAsia="zh-CN"/>
        </w:rPr>
        <w:t>5</w:t>
      </w:r>
      <w:r>
        <w:rPr>
          <w:rFonts w:hint="eastAsia" w:ascii="宋体" w:hAnsi="宋体" w:cs="宋体"/>
          <w:sz w:val="24"/>
          <w:szCs w:val="24"/>
          <w:highlight w:val="none"/>
          <w:lang w:eastAsia="zh-CN"/>
        </w:rPr>
        <w:t>月</w:t>
      </w:r>
      <w:r>
        <w:rPr>
          <w:rFonts w:hint="eastAsia" w:ascii="宋体" w:hAnsi="宋体" w:cs="宋体"/>
          <w:sz w:val="24"/>
          <w:szCs w:val="24"/>
          <w:highlight w:val="none"/>
          <w:lang w:val="en-US" w:eastAsia="zh-CN"/>
        </w:rPr>
        <w:t>18</w:t>
      </w:r>
      <w:r>
        <w:rPr>
          <w:rFonts w:hint="eastAsia" w:ascii="宋体" w:hAnsi="宋体" w:cs="宋体"/>
          <w:sz w:val="24"/>
          <w:szCs w:val="24"/>
          <w:highlight w:val="none"/>
          <w:lang w:eastAsia="zh-CN"/>
        </w:rPr>
        <w:t>日9点00分</w:t>
      </w:r>
      <w:r>
        <w:rPr>
          <w:rFonts w:hint="eastAsia" w:ascii="宋体" w:hAnsi="宋体" w:cs="宋体"/>
          <w:sz w:val="24"/>
          <w:szCs w:val="24"/>
          <w:highlight w:val="none"/>
        </w:rPr>
        <w:t>（北京时间）</w:t>
      </w:r>
    </w:p>
    <w:p w14:paraId="594B0DF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0"/>
          <w:sz w:val="24"/>
          <w:szCs w:val="24"/>
          <w:highlight w:val="none"/>
          <w:shd w:val="clear" w:fill="FFFFFF"/>
          <w:lang w:val="en-US" w:eastAsia="zh-CN" w:bidi="ar"/>
        </w:rPr>
        <w:t>2、提交方式：</w:t>
      </w:r>
      <w:r>
        <w:rPr>
          <w:rFonts w:hint="eastAsia" w:ascii="宋体" w:hAnsi="宋体" w:eastAsia="宋体" w:cs="宋体"/>
          <w:color w:val="333333"/>
          <w:kern w:val="2"/>
          <w:sz w:val="24"/>
          <w:szCs w:val="24"/>
          <w:highlight w:val="none"/>
          <w:shd w:val="clear" w:fill="FFFFFF"/>
          <w:lang w:val="en-US" w:eastAsia="zh-CN" w:bidi="ar"/>
        </w:rPr>
        <w:t>现场递交</w:t>
      </w:r>
    </w:p>
    <w:p w14:paraId="1DB09A80">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3、递交地点：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2E9CE0C3">
      <w:pPr>
        <w:keepNext w:val="0"/>
        <w:keepLines w:val="0"/>
        <w:widowControl/>
        <w:suppressLineNumbers w:val="0"/>
        <w:wordWrap w:val="0"/>
        <w:spacing w:before="0" w:beforeAutospacing="0" w:after="0" w:afterAutospacing="0" w:line="500" w:lineRule="exact"/>
        <w:ind w:left="0" w:leftChars="0" w:right="0"/>
        <w:jc w:val="both"/>
        <w:rPr>
          <w:rFonts w:hint="eastAsia" w:ascii="宋体" w:hAnsi="宋体" w:eastAsia="宋体" w:cs="宋体"/>
          <w:b/>
          <w:bCs w:val="0"/>
          <w:color w:val="333333"/>
          <w:kern w:val="0"/>
          <w:sz w:val="24"/>
          <w:szCs w:val="24"/>
          <w:highlight w:val="none"/>
          <w:shd w:val="clear" w:fill="FFFFFF"/>
        </w:rPr>
      </w:pPr>
      <w:r>
        <w:rPr>
          <w:rFonts w:hint="eastAsia" w:ascii="宋体" w:hAnsi="宋体" w:eastAsia="宋体" w:cs="宋体"/>
          <w:b/>
          <w:bCs w:val="0"/>
          <w:color w:val="333333"/>
          <w:kern w:val="0"/>
          <w:sz w:val="24"/>
          <w:szCs w:val="24"/>
          <w:highlight w:val="none"/>
          <w:shd w:val="clear" w:fill="FFFFFF"/>
          <w:lang w:val="en-US" w:eastAsia="zh-CN"/>
        </w:rPr>
        <w:t>五、响应文件开启</w:t>
      </w:r>
    </w:p>
    <w:p w14:paraId="1AE326B2">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w:t>
      </w:r>
      <w:r>
        <w:rPr>
          <w:rFonts w:hint="eastAsia" w:ascii="宋体" w:hAnsi="宋体" w:cs="宋体"/>
          <w:sz w:val="24"/>
          <w:szCs w:val="24"/>
          <w:highlight w:val="none"/>
        </w:rPr>
        <w:t>开启时间</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eastAsia="宋体" w:cs="宋体"/>
          <w:bCs/>
          <w:color w:val="333333"/>
          <w:kern w:val="2"/>
          <w:sz w:val="24"/>
          <w:szCs w:val="24"/>
          <w:highlight w:val="none"/>
          <w:u w:val="none"/>
          <w:shd w:val="clear" w:fill="FFFFFF"/>
          <w:lang w:val="en-US" w:eastAsia="zh-CN" w:bidi="ar"/>
        </w:rPr>
        <w:t>2026年5月18日09</w:t>
      </w:r>
      <w:r>
        <w:rPr>
          <w:rFonts w:hint="eastAsia" w:ascii="宋体" w:hAnsi="宋体" w:eastAsia="宋体" w:cs="宋体"/>
          <w:color w:val="333333"/>
          <w:kern w:val="2"/>
          <w:sz w:val="24"/>
          <w:szCs w:val="24"/>
          <w:highlight w:val="none"/>
          <w:u w:val="none"/>
          <w:shd w:val="clear" w:fill="FFFFFF"/>
          <w:lang w:val="en-US" w:eastAsia="zh-CN" w:bidi="ar"/>
        </w:rPr>
        <w:t>点00分</w:t>
      </w:r>
      <w:r>
        <w:rPr>
          <w:rFonts w:hint="eastAsia" w:ascii="宋体" w:hAnsi="宋体" w:eastAsia="宋体" w:cs="宋体"/>
          <w:color w:val="333333"/>
          <w:kern w:val="2"/>
          <w:sz w:val="24"/>
          <w:szCs w:val="24"/>
          <w:highlight w:val="none"/>
          <w:shd w:val="clear" w:fill="FFFFFF"/>
          <w:lang w:val="en-US" w:eastAsia="zh-CN" w:bidi="ar"/>
        </w:rPr>
        <w:t>（北京时间）</w:t>
      </w:r>
    </w:p>
    <w:p w14:paraId="2A893A5F">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w:t>
      </w:r>
      <w:r>
        <w:rPr>
          <w:rFonts w:hint="eastAsia" w:ascii="宋体" w:hAnsi="宋体" w:cs="宋体"/>
          <w:sz w:val="24"/>
          <w:szCs w:val="24"/>
          <w:highlight w:val="none"/>
        </w:rPr>
        <w:t>开启地点</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3BA92771">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六、公告期限</w:t>
      </w:r>
    </w:p>
    <w:p w14:paraId="5DE87E3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0"/>
          <w:sz w:val="24"/>
          <w:szCs w:val="24"/>
          <w:highlight w:val="none"/>
          <w:shd w:val="clear" w:fill="FFFFFF"/>
          <w:lang w:val="en-US" w:eastAsia="zh-CN" w:bidi="ar"/>
        </w:rPr>
        <w:t>自本公告发布之日起3个工作日。</w:t>
      </w:r>
    </w:p>
    <w:p w14:paraId="4C0C320C">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jc w:val="both"/>
        <w:rPr>
          <w:highlight w:val="none"/>
        </w:rPr>
      </w:pPr>
      <w:r>
        <w:rPr>
          <w:rFonts w:hint="eastAsia" w:ascii="宋体" w:hAnsi="宋体" w:eastAsia="宋体" w:cs="宋体"/>
          <w:b/>
          <w:bCs/>
          <w:color w:val="333333"/>
          <w:kern w:val="2"/>
          <w:sz w:val="24"/>
          <w:szCs w:val="24"/>
          <w:highlight w:val="none"/>
          <w:shd w:val="clear" w:fill="FFFFFF"/>
          <w:lang w:val="en-US" w:eastAsia="zh-CN" w:bidi="ar"/>
        </w:rPr>
        <w:t>七、其他事宜</w:t>
      </w:r>
    </w:p>
    <w:p w14:paraId="19402F4F">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b w:val="0"/>
          <w:bCs w:val="0"/>
          <w:color w:val="333333"/>
          <w:kern w:val="2"/>
          <w:sz w:val="24"/>
          <w:szCs w:val="24"/>
          <w:highlight w:val="none"/>
          <w:shd w:val="clear" w:fill="FFFFFF"/>
          <w:lang w:val="en-US" w:eastAsia="zh-CN" w:bidi="ar"/>
        </w:rPr>
        <w:t>1、供应商应当按照本项目采购文件规定的时间和地点参与谈判，供应商仅确定一名人员参加：法定代表人持本人二代居民身份证原件和法定代表人身份证明原件（或授权委托代理人持本人二代居民身份证原件和法人授权委托书原件）参加谈判会议。凡不能出示上述有效证件或到场人员与证件载明的人员不一致或未出席谈判会议者，响应文件不予接受，谈判资格无效。</w:t>
      </w:r>
    </w:p>
    <w:p w14:paraId="514DF761">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2、答疑：供应商如果对本项目内容有相关疑问，可以以邮件形式提出，对采购文件进行的澄清、更正或更改，将在</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）及时发布，该公告内容为采购文件的组成部分，对供应商具有同样约束力效力。供应商应主动上网查询，供应商须自行承担因未及时关注相关信息而引发的相关责任。</w:t>
      </w:r>
    </w:p>
    <w:p w14:paraId="58DFE4CE">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3、本项目相关公告在</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）发布，请各位供应商注意查看有关竞争性谈判公告、答疑澄清等相关文件资料，如不及时查看造成后果由供应商自负。</w:t>
      </w:r>
    </w:p>
    <w:p w14:paraId="2A5D38BD">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4、严禁恶意低价或恶意高价竞标，对恶意低价或恶意高价竞标的，采购人有权进行调查处理，经查证属实的，其响应资格无效，同时给予限制投标资格等处理。 </w:t>
      </w:r>
    </w:p>
    <w:p w14:paraId="48D08BF0">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bCs/>
          <w:color w:val="333333"/>
          <w:kern w:val="0"/>
          <w:sz w:val="24"/>
          <w:szCs w:val="24"/>
          <w:highlight w:val="none"/>
          <w:shd w:val="clear" w:fill="FFFFFF"/>
          <w:lang w:val="en-US" w:eastAsia="zh-CN" w:bidi="ar"/>
        </w:rPr>
        <w:t>5、响应保证金：本项目无需提供。</w:t>
      </w:r>
    </w:p>
    <w:p w14:paraId="6FF73A91">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rPr>
        <w:t>八、凡对本次采购提出询问，请按以下方式联系</w:t>
      </w:r>
      <w:r>
        <w:rPr>
          <w:rFonts w:hint="eastAsia" w:ascii="宋体" w:hAnsi="宋体" w:eastAsia="宋体" w:cs="宋体"/>
          <w:sz w:val="24"/>
          <w:szCs w:val="24"/>
          <w:highlight w:val="none"/>
        </w:rPr>
        <w:t>。</w:t>
      </w:r>
      <w:bookmarkEnd w:id="4"/>
      <w:bookmarkEnd w:id="5"/>
      <w:bookmarkEnd w:id="6"/>
      <w:bookmarkEnd w:id="7"/>
      <w:bookmarkEnd w:id="8"/>
    </w:p>
    <w:p w14:paraId="698C32AD">
      <w:pPr>
        <w:keepNext/>
        <w:keepLines/>
        <w:pageBreakBefore w:val="0"/>
        <w:widowControl/>
        <w:kinsoku/>
        <w:wordWrap/>
        <w:overflowPunct/>
        <w:topLinePunct w:val="0"/>
        <w:autoSpaceDE/>
        <w:autoSpaceDN/>
        <w:bidi w:val="0"/>
        <w:adjustRightInd/>
        <w:snapToGrid/>
        <w:spacing w:before="0" w:after="0" w:line="500" w:lineRule="exact"/>
        <w:jc w:val="both"/>
        <w:textAlignment w:val="auto"/>
        <w:outlineLvl w:val="1"/>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1、采购人信息</w:t>
      </w:r>
    </w:p>
    <w:p w14:paraId="0A0BAB31">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9" w:name="_Toc35393807"/>
      <w:bookmarkStart w:id="10" w:name="_Toc35393638"/>
      <w:bookmarkStart w:id="11" w:name="_Toc28359097"/>
      <w:bookmarkStart w:id="12" w:name="_Toc28359020"/>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霍山县民政局</w:t>
      </w:r>
    </w:p>
    <w:p w14:paraId="4C5CA658">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地址：霍山县衡山镇迎驾西路12号</w:t>
      </w:r>
    </w:p>
    <w:p w14:paraId="24FA49AF">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联系方式：</w:t>
      </w:r>
      <w:r>
        <w:rPr>
          <w:rFonts w:hint="eastAsia" w:ascii="宋体" w:hAnsi="宋体" w:cs="宋体"/>
          <w:color w:val="333333"/>
          <w:kern w:val="2"/>
          <w:sz w:val="24"/>
          <w:szCs w:val="24"/>
          <w:highlight w:val="none"/>
          <w:shd w:val="clear" w:fill="FFFFFF"/>
          <w:lang w:val="en-US" w:eastAsia="zh-CN" w:bidi="ar"/>
        </w:rPr>
        <w:t>余先生  0564-3900680</w:t>
      </w:r>
    </w:p>
    <w:bookmarkEnd w:id="9"/>
    <w:bookmarkEnd w:id="10"/>
    <w:bookmarkEnd w:id="11"/>
    <w:bookmarkEnd w:id="12"/>
    <w:p w14:paraId="5E51AA5F">
      <w:pPr>
        <w:pageBreakBefore w:val="0"/>
        <w:widowControl/>
        <w:kinsoku w:val="0"/>
        <w:wordWrap/>
        <w:overflowPunct/>
        <w:topLinePunct w:val="0"/>
        <w:autoSpaceDE w:val="0"/>
        <w:autoSpaceDN w:val="0"/>
        <w:bidi w:val="0"/>
        <w:adjustRightInd/>
        <w:snapToGrid w:val="0"/>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13" w:name="_Toc35393639"/>
      <w:bookmarkStart w:id="14" w:name="_Toc35393808"/>
      <w:bookmarkStart w:id="15" w:name="_Toc28359098"/>
      <w:bookmarkStart w:id="16" w:name="_Toc28359021"/>
      <w:r>
        <w:rPr>
          <w:rFonts w:hint="eastAsia" w:ascii="宋体" w:hAnsi="宋体" w:eastAsia="宋体" w:cs="宋体"/>
          <w:color w:val="333333"/>
          <w:kern w:val="2"/>
          <w:sz w:val="24"/>
          <w:szCs w:val="24"/>
          <w:highlight w:val="none"/>
          <w:shd w:val="clear" w:fill="FFFFFF"/>
          <w:lang w:val="en-US" w:eastAsia="zh-CN" w:bidi="ar"/>
        </w:rPr>
        <w:t>2、采购代理机构信息</w:t>
      </w:r>
    </w:p>
    <w:bookmarkEnd w:id="13"/>
    <w:bookmarkEnd w:id="14"/>
    <w:bookmarkEnd w:id="15"/>
    <w:bookmarkEnd w:id="16"/>
    <w:p w14:paraId="0096DF41">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 xml:space="preserve">  </w:t>
      </w:r>
    </w:p>
    <w:p w14:paraId="68CA9583">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地址：安徽省六安市霍山县经济开发区三板桥路与霍山大道交叉口（东城执法中队三楼） </w:t>
      </w:r>
    </w:p>
    <w:p w14:paraId="51B3F41A">
      <w:pPr>
        <w:pageBreakBefore w:val="0"/>
        <w:widowControl/>
        <w:kinsoku/>
        <w:wordWrap/>
        <w:overflowPunct/>
        <w:topLinePunct w:val="0"/>
        <w:autoSpaceDE/>
        <w:autoSpaceDN/>
        <w:bidi w:val="0"/>
        <w:adjustRightInd/>
        <w:snapToGrid/>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3、项目联系方式</w:t>
      </w:r>
    </w:p>
    <w:p w14:paraId="10FC0E1B">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项目联系人：</w:t>
      </w:r>
      <w:r>
        <w:rPr>
          <w:rFonts w:hint="eastAsia" w:ascii="宋体" w:hAnsi="宋体" w:cs="宋体"/>
          <w:color w:val="333333"/>
          <w:kern w:val="2"/>
          <w:sz w:val="24"/>
          <w:szCs w:val="24"/>
          <w:highlight w:val="none"/>
          <w:shd w:val="clear" w:fill="FFFFFF"/>
          <w:lang w:val="en-US" w:eastAsia="zh-CN" w:bidi="ar"/>
        </w:rPr>
        <w:t>肖</w:t>
      </w:r>
      <w:r>
        <w:rPr>
          <w:rFonts w:hint="eastAsia" w:ascii="宋体" w:hAnsi="宋体" w:eastAsia="宋体" w:cs="宋体"/>
          <w:color w:val="333333"/>
          <w:kern w:val="2"/>
          <w:sz w:val="24"/>
          <w:szCs w:val="24"/>
          <w:highlight w:val="none"/>
          <w:shd w:val="clear" w:fill="FFFFFF"/>
          <w:lang w:val="en-US" w:eastAsia="zh-CN" w:bidi="ar"/>
        </w:rPr>
        <w:t>工</w:t>
      </w:r>
    </w:p>
    <w:p w14:paraId="35864FA3">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Times New Roman"/>
          <w:bCs/>
          <w:color w:val="000000"/>
          <w:kern w:val="0"/>
          <w:sz w:val="24"/>
          <w:szCs w:val="24"/>
          <w:highlight w:val="none"/>
        </w:rPr>
      </w:pPr>
      <w:r>
        <w:rPr>
          <w:rFonts w:hint="eastAsia" w:ascii="宋体" w:hAnsi="宋体" w:eastAsia="宋体" w:cs="宋体"/>
          <w:color w:val="333333"/>
          <w:kern w:val="2"/>
          <w:sz w:val="24"/>
          <w:szCs w:val="24"/>
          <w:highlight w:val="none"/>
          <w:shd w:val="clear" w:fill="FFFFFF"/>
          <w:lang w:val="en-US" w:eastAsia="zh-CN" w:bidi="ar"/>
        </w:rPr>
        <w:t>电　 话：</w:t>
      </w:r>
      <w:r>
        <w:rPr>
          <w:rFonts w:hint="eastAsia" w:ascii="宋体" w:hAnsi="宋体" w:cs="宋体"/>
          <w:bCs/>
          <w:sz w:val="24"/>
          <w:szCs w:val="24"/>
          <w:highlight w:val="none"/>
        </w:rPr>
        <w:t>0564-5032891</w:t>
      </w:r>
    </w:p>
    <w:p w14:paraId="2FC7D69F">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p>
    <w:p w14:paraId="36626680">
      <w:pPr>
        <w:pageBreakBefore w:val="0"/>
        <w:kinsoku/>
        <w:wordWrap/>
        <w:overflowPunct/>
        <w:topLinePunct w:val="0"/>
        <w:autoSpaceDE/>
        <w:autoSpaceDN/>
        <w:bidi w:val="0"/>
        <w:adjustRightInd/>
        <w:snapToGrid/>
        <w:spacing w:line="600" w:lineRule="exact"/>
        <w:jc w:val="both"/>
        <w:textAlignment w:val="auto"/>
        <w:rPr>
          <w:rFonts w:hint="eastAsia" w:ascii="宋体" w:hAnsi="宋体" w:eastAsia="宋体" w:cs="宋体"/>
          <w:bCs/>
          <w:sz w:val="24"/>
          <w:szCs w:val="24"/>
          <w:highlight w:val="none"/>
        </w:rPr>
      </w:pPr>
    </w:p>
    <w:p w14:paraId="4980ED95">
      <w:pPr>
        <w:pageBreakBefore w:val="0"/>
        <w:kinsoku/>
        <w:wordWrap/>
        <w:overflowPunct/>
        <w:topLinePunct w:val="0"/>
        <w:autoSpaceDE/>
        <w:autoSpaceDN/>
        <w:bidi w:val="0"/>
        <w:adjustRightInd/>
        <w:snapToGrid/>
        <w:spacing w:line="600" w:lineRule="exact"/>
        <w:ind w:firstLine="480" w:firstLineChars="200"/>
        <w:jc w:val="center"/>
        <w:textAlignment w:val="auto"/>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 xml:space="preserve">                                                </w:t>
      </w:r>
    </w:p>
    <w:p w14:paraId="38FAB978">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霍山县民政局</w:t>
      </w:r>
    </w:p>
    <w:p w14:paraId="4E6C022D">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安徽政华工程咨询有限公司</w:t>
      </w:r>
    </w:p>
    <w:p w14:paraId="6357CE18">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202</w:t>
      </w:r>
      <w:r>
        <w:rPr>
          <w:rFonts w:hint="eastAsia" w:ascii="宋体" w:hAnsi="宋体" w:eastAsia="宋体" w:cs="宋体"/>
          <w:bCs/>
          <w:sz w:val="24"/>
          <w:szCs w:val="24"/>
          <w:highlight w:val="none"/>
          <w:lang w:val="en-US" w:eastAsia="zh-CN"/>
        </w:rPr>
        <w:t>6</w:t>
      </w:r>
      <w:r>
        <w:rPr>
          <w:rFonts w:hint="eastAsia" w:ascii="宋体" w:hAnsi="宋体" w:eastAsia="宋体" w:cs="宋体"/>
          <w:bCs/>
          <w:sz w:val="24"/>
          <w:szCs w:val="24"/>
          <w:highlight w:val="none"/>
        </w:rPr>
        <w:t>年</w:t>
      </w:r>
      <w:r>
        <w:rPr>
          <w:rFonts w:hint="eastAsia" w:ascii="宋体" w:hAnsi="宋体" w:eastAsia="宋体" w:cs="宋体"/>
          <w:bCs/>
          <w:sz w:val="24"/>
          <w:szCs w:val="24"/>
          <w:highlight w:val="none"/>
          <w:lang w:val="en-US" w:eastAsia="zh-CN"/>
        </w:rPr>
        <w:t>5</w:t>
      </w:r>
      <w:r>
        <w:rPr>
          <w:rFonts w:hint="eastAsia" w:ascii="宋体" w:hAnsi="宋体" w:eastAsia="宋体" w:cs="宋体"/>
          <w:bCs/>
          <w:sz w:val="24"/>
          <w:szCs w:val="24"/>
          <w:highlight w:val="none"/>
        </w:rPr>
        <w:t>月</w:t>
      </w:r>
      <w:r>
        <w:rPr>
          <w:rFonts w:hint="eastAsia" w:ascii="宋体" w:hAnsi="宋体" w:cs="宋体"/>
          <w:bCs/>
          <w:sz w:val="24"/>
          <w:szCs w:val="24"/>
          <w:highlight w:val="none"/>
          <w:lang w:val="en-US" w:eastAsia="zh-CN"/>
        </w:rPr>
        <w:t>13</w:t>
      </w:r>
      <w:r>
        <w:rPr>
          <w:rFonts w:hint="eastAsia" w:ascii="宋体" w:hAnsi="宋体" w:eastAsia="宋体" w:cs="宋体"/>
          <w:bCs/>
          <w:sz w:val="24"/>
          <w:szCs w:val="24"/>
          <w:highlight w:val="none"/>
        </w:rPr>
        <w:t>日</w:t>
      </w:r>
    </w:p>
    <w:p w14:paraId="043455C6">
      <w:pPr>
        <w:pageBreakBefore w:val="0"/>
        <w:kinsoku/>
        <w:wordWrap/>
        <w:overflowPunct/>
        <w:topLinePunct w:val="0"/>
        <w:autoSpaceDE/>
        <w:autoSpaceDN/>
        <w:bidi w:val="0"/>
        <w:adjustRightInd/>
        <w:snapToGrid/>
        <w:spacing w:line="600" w:lineRule="exact"/>
        <w:textAlignment w:val="auto"/>
        <w:rPr>
          <w:rFonts w:hint="eastAsia" w:ascii="宋体" w:hAnsi="宋体" w:eastAsia="宋体" w:cs="宋体"/>
          <w:sz w:val="28"/>
          <w:szCs w:val="28"/>
          <w:highlight w:val="none"/>
        </w:rPr>
      </w:pPr>
      <w:bookmarkStart w:id="17" w:name="_Toc18386"/>
      <w:r>
        <w:rPr>
          <w:rFonts w:hint="eastAsia" w:ascii="宋体" w:hAnsi="宋体" w:eastAsia="宋体" w:cs="宋体"/>
          <w:sz w:val="28"/>
          <w:szCs w:val="28"/>
          <w:highlight w:val="none"/>
        </w:rPr>
        <w:br w:type="page"/>
      </w:r>
    </w:p>
    <w:p w14:paraId="4E8DE241">
      <w:pPr>
        <w:keepNext/>
        <w:keepLines/>
        <w:pageBreakBefore w:val="0"/>
        <w:widowControl w:val="0"/>
        <w:kinsoku/>
        <w:wordWrap/>
        <w:overflowPunct/>
        <w:topLinePunct w:val="0"/>
        <w:autoSpaceDE/>
        <w:autoSpaceDN/>
        <w:bidi w:val="0"/>
        <w:adjustRightInd w:val="0"/>
        <w:snapToGrid/>
        <w:spacing w:before="156" w:beforeLines="50" w:after="156" w:afterLines="50" w:line="460" w:lineRule="exact"/>
        <w:jc w:val="center"/>
        <w:textAlignment w:val="baseline"/>
        <w:rPr>
          <w:rFonts w:ascii="宋体" w:hAnsi="宋体" w:eastAsia="宋体" w:cs="宋体"/>
          <w:sz w:val="28"/>
          <w:szCs w:val="28"/>
          <w:highlight w:val="none"/>
        </w:rPr>
      </w:pPr>
      <w:r>
        <w:rPr>
          <w:rFonts w:hint="eastAsia" w:ascii="宋体" w:hAnsi="宋体" w:eastAsia="宋体" w:cs="宋体"/>
          <w:sz w:val="28"/>
          <w:szCs w:val="28"/>
          <w:highlight w:val="none"/>
        </w:rPr>
        <w:t>一、供应商须知</w:t>
      </w:r>
      <w:bookmarkEnd w:id="2"/>
      <w:bookmarkEnd w:id="3"/>
      <w:bookmarkEnd w:id="17"/>
    </w:p>
    <w:p w14:paraId="3540D3C3">
      <w:pPr>
        <w:keepNext/>
        <w:keepLines/>
        <w:pageBreakBefore w:val="0"/>
        <w:widowControl w:val="0"/>
        <w:kinsoku/>
        <w:wordWrap/>
        <w:overflowPunct/>
        <w:topLinePunct w:val="0"/>
        <w:autoSpaceDE/>
        <w:autoSpaceDN/>
        <w:bidi w:val="0"/>
        <w:adjustRightInd w:val="0"/>
        <w:snapToGrid/>
        <w:spacing w:before="0" w:after="0" w:line="460" w:lineRule="exact"/>
        <w:jc w:val="center"/>
        <w:textAlignment w:val="baseline"/>
        <w:rPr>
          <w:rFonts w:ascii="宋体" w:hAnsi="宋体" w:eastAsia="宋体" w:cs="宋体"/>
          <w:sz w:val="24"/>
          <w:szCs w:val="24"/>
          <w:highlight w:val="none"/>
        </w:rPr>
      </w:pPr>
      <w:bookmarkStart w:id="18" w:name="_Toc6858"/>
      <w:r>
        <w:rPr>
          <w:rFonts w:hint="eastAsia" w:ascii="宋体" w:hAnsi="宋体" w:eastAsia="宋体" w:cs="宋体"/>
          <w:sz w:val="24"/>
          <w:szCs w:val="24"/>
          <w:highlight w:val="none"/>
        </w:rPr>
        <w:t>（一）须知前附表</w:t>
      </w:r>
      <w:bookmarkEnd w:id="18"/>
    </w:p>
    <w:tbl>
      <w:tblPr>
        <w:tblStyle w:val="8"/>
        <w:tblW w:w="9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484"/>
        <w:gridCol w:w="2070"/>
        <w:gridCol w:w="7206"/>
      </w:tblGrid>
      <w:tr w14:paraId="4EE82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22094243">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
                <w:sz w:val="24"/>
                <w:szCs w:val="24"/>
                <w:highlight w:val="none"/>
              </w:rPr>
            </w:pPr>
            <w:bookmarkStart w:id="19" w:name="_Toc438107743"/>
            <w:bookmarkStart w:id="20" w:name="_Toc216158627"/>
            <w:bookmarkStart w:id="21" w:name="_Toc363199267"/>
            <w:r>
              <w:rPr>
                <w:rFonts w:hint="eastAsia" w:ascii="宋体" w:hAnsi="宋体"/>
                <w:b/>
                <w:sz w:val="24"/>
                <w:szCs w:val="24"/>
                <w:highlight w:val="none"/>
              </w:rPr>
              <w:t>序号</w:t>
            </w:r>
          </w:p>
        </w:tc>
        <w:tc>
          <w:tcPr>
            <w:tcW w:w="2070" w:type="dxa"/>
            <w:vAlign w:val="center"/>
          </w:tcPr>
          <w:p w14:paraId="1830C7E2">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
                <w:sz w:val="24"/>
                <w:szCs w:val="24"/>
                <w:highlight w:val="none"/>
              </w:rPr>
            </w:pPr>
            <w:r>
              <w:rPr>
                <w:rFonts w:hint="eastAsia" w:ascii="宋体" w:hAnsi="宋体"/>
                <w:b/>
                <w:sz w:val="24"/>
                <w:szCs w:val="24"/>
                <w:highlight w:val="none"/>
              </w:rPr>
              <w:t>内容</w:t>
            </w:r>
          </w:p>
        </w:tc>
        <w:tc>
          <w:tcPr>
            <w:tcW w:w="7206" w:type="dxa"/>
            <w:vAlign w:val="center"/>
          </w:tcPr>
          <w:p w14:paraId="39A16AF0">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rPr>
                <w:bCs w:val="0"/>
                <w:kern w:val="2"/>
                <w:sz w:val="24"/>
                <w:szCs w:val="24"/>
                <w:highlight w:val="none"/>
              </w:rPr>
            </w:pPr>
            <w:r>
              <w:rPr>
                <w:rFonts w:hint="eastAsia"/>
                <w:bCs w:val="0"/>
                <w:kern w:val="2"/>
                <w:sz w:val="24"/>
                <w:szCs w:val="24"/>
                <w:highlight w:val="none"/>
              </w:rPr>
              <w:t>说明与要求</w:t>
            </w:r>
          </w:p>
        </w:tc>
      </w:tr>
      <w:tr w14:paraId="7DE7A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1" w:hRule="atLeast"/>
          <w:jc w:val="center"/>
        </w:trPr>
        <w:tc>
          <w:tcPr>
            <w:tcW w:w="484" w:type="dxa"/>
            <w:vAlign w:val="center"/>
          </w:tcPr>
          <w:p w14:paraId="2729371D">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1</w:t>
            </w:r>
          </w:p>
        </w:tc>
        <w:tc>
          <w:tcPr>
            <w:tcW w:w="2070" w:type="dxa"/>
            <w:vAlign w:val="center"/>
          </w:tcPr>
          <w:p w14:paraId="2D09F12A">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bCs/>
                <w:sz w:val="24"/>
                <w:szCs w:val="24"/>
                <w:highlight w:val="none"/>
              </w:rPr>
              <w:t>采购人</w:t>
            </w:r>
          </w:p>
        </w:tc>
        <w:tc>
          <w:tcPr>
            <w:tcW w:w="7206" w:type="dxa"/>
            <w:vAlign w:val="center"/>
          </w:tcPr>
          <w:p w14:paraId="56114AC0">
            <w:pPr>
              <w:keepNext w:val="0"/>
              <w:keepLines w:val="0"/>
              <w:pageBreakBefore w:val="0"/>
              <w:widowControl w:val="0"/>
              <w:kinsoku/>
              <w:wordWrap/>
              <w:overflowPunct/>
              <w:topLinePunct w:val="0"/>
              <w:autoSpaceDE/>
              <w:autoSpaceDN/>
              <w:bidi w:val="0"/>
              <w:adjustRightInd/>
              <w:snapToGrid/>
              <w:spacing w:line="440" w:lineRule="exact"/>
              <w:rPr>
                <w:rFonts w:hint="eastAsia" w:eastAsia="宋体"/>
                <w:sz w:val="24"/>
                <w:szCs w:val="24"/>
                <w:highlight w:val="none"/>
                <w:lang w:eastAsia="zh-CN"/>
              </w:rPr>
            </w:pPr>
            <w:r>
              <w:rPr>
                <w:rFonts w:hint="eastAsia"/>
                <w:sz w:val="24"/>
                <w:szCs w:val="24"/>
                <w:highlight w:val="none"/>
                <w:lang w:eastAsia="zh-CN"/>
              </w:rPr>
              <w:t>霍山县民政局</w:t>
            </w:r>
          </w:p>
        </w:tc>
      </w:tr>
      <w:tr w14:paraId="6C7C6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71" w:hRule="atLeast"/>
          <w:jc w:val="center"/>
        </w:trPr>
        <w:tc>
          <w:tcPr>
            <w:tcW w:w="484" w:type="dxa"/>
            <w:vAlign w:val="center"/>
          </w:tcPr>
          <w:p w14:paraId="5B047C67">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2</w:t>
            </w:r>
          </w:p>
        </w:tc>
        <w:tc>
          <w:tcPr>
            <w:tcW w:w="2070" w:type="dxa"/>
            <w:vAlign w:val="center"/>
          </w:tcPr>
          <w:p w14:paraId="68CFE486">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Cs/>
                <w:sz w:val="24"/>
                <w:szCs w:val="24"/>
                <w:highlight w:val="none"/>
              </w:rPr>
            </w:pPr>
            <w:r>
              <w:rPr>
                <w:rFonts w:hint="eastAsia" w:ascii="宋体" w:hAnsi="宋体"/>
                <w:sz w:val="24"/>
                <w:szCs w:val="24"/>
                <w:highlight w:val="none"/>
              </w:rPr>
              <w:t>采购代理机构</w:t>
            </w:r>
          </w:p>
        </w:tc>
        <w:tc>
          <w:tcPr>
            <w:tcW w:w="7206" w:type="dxa"/>
            <w:vAlign w:val="center"/>
          </w:tcPr>
          <w:p w14:paraId="37942234">
            <w:pPr>
              <w:keepNext w:val="0"/>
              <w:keepLines w:val="0"/>
              <w:pageBreakBefore w:val="0"/>
              <w:widowControl w:val="0"/>
              <w:kinsoku/>
              <w:wordWrap/>
              <w:overflowPunct/>
              <w:topLinePunct w:val="0"/>
              <w:autoSpaceDE/>
              <w:autoSpaceDN/>
              <w:bidi w:val="0"/>
              <w:adjustRightInd/>
              <w:snapToGrid/>
              <w:spacing w:line="440" w:lineRule="exact"/>
              <w:jc w:val="left"/>
              <w:rPr>
                <w:rFonts w:ascii="宋体" w:hAnsi="宋体"/>
                <w:sz w:val="24"/>
                <w:szCs w:val="24"/>
                <w:highlight w:val="none"/>
              </w:rPr>
            </w:pPr>
            <w:r>
              <w:rPr>
                <w:rFonts w:hint="eastAsia" w:ascii="宋体" w:hAnsi="宋体"/>
                <w:sz w:val="24"/>
                <w:szCs w:val="24"/>
                <w:highlight w:val="none"/>
              </w:rPr>
              <w:t>名称：</w:t>
            </w:r>
            <w:r>
              <w:rPr>
                <w:rFonts w:hint="eastAsia" w:ascii="宋体" w:hAnsi="宋体"/>
                <w:sz w:val="24"/>
                <w:szCs w:val="24"/>
                <w:highlight w:val="none"/>
                <w:lang w:eastAsia="zh-CN"/>
              </w:rPr>
              <w:t>安徽政华工程咨询有限公司</w:t>
            </w:r>
            <w:r>
              <w:rPr>
                <w:rFonts w:ascii="宋体" w:hAnsi="宋体"/>
                <w:sz w:val="24"/>
                <w:szCs w:val="24"/>
                <w:highlight w:val="none"/>
              </w:rPr>
              <w:t xml:space="preserve"> </w:t>
            </w:r>
          </w:p>
          <w:p w14:paraId="2E00CF8E">
            <w:pPr>
              <w:keepNext w:val="0"/>
              <w:keepLines w:val="0"/>
              <w:pageBreakBefore w:val="0"/>
              <w:widowControl w:val="0"/>
              <w:kinsoku/>
              <w:wordWrap/>
              <w:overflowPunct/>
              <w:topLinePunct w:val="0"/>
              <w:autoSpaceDE/>
              <w:autoSpaceDN/>
              <w:bidi w:val="0"/>
              <w:adjustRightInd/>
              <w:snapToGrid/>
              <w:spacing w:line="440" w:lineRule="exact"/>
              <w:jc w:val="left"/>
              <w:rPr>
                <w:b/>
                <w:bCs/>
                <w:sz w:val="24"/>
                <w:szCs w:val="24"/>
                <w:highlight w:val="none"/>
              </w:rPr>
            </w:pPr>
            <w:r>
              <w:rPr>
                <w:rFonts w:hint="eastAsia"/>
                <w:sz w:val="24"/>
                <w:szCs w:val="24"/>
                <w:highlight w:val="none"/>
              </w:rPr>
              <w:t>地址：</w:t>
            </w:r>
            <w:r>
              <w:rPr>
                <w:rFonts w:hint="eastAsia"/>
                <w:sz w:val="24"/>
                <w:szCs w:val="24"/>
                <w:highlight w:val="none"/>
                <w:lang w:eastAsia="zh-CN"/>
              </w:rPr>
              <w:t>安徽省六安市霍山县经济开发区三板桥路与霍山大道交叉口（东城执法中队三楼）</w:t>
            </w:r>
            <w:r>
              <w:rPr>
                <w:b/>
                <w:bCs/>
                <w:sz w:val="24"/>
                <w:szCs w:val="24"/>
                <w:highlight w:val="none"/>
              </w:rPr>
              <w:t xml:space="preserve"> </w:t>
            </w:r>
          </w:p>
        </w:tc>
      </w:tr>
      <w:tr w14:paraId="62B0F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62E7F244">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3</w:t>
            </w:r>
          </w:p>
        </w:tc>
        <w:tc>
          <w:tcPr>
            <w:tcW w:w="2070" w:type="dxa"/>
            <w:vAlign w:val="center"/>
          </w:tcPr>
          <w:p w14:paraId="53AA8BAC">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谈判有效期</w:t>
            </w:r>
          </w:p>
        </w:tc>
        <w:tc>
          <w:tcPr>
            <w:tcW w:w="7206" w:type="dxa"/>
            <w:vAlign w:val="center"/>
          </w:tcPr>
          <w:p w14:paraId="43C9D4C1">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b w:val="0"/>
                <w:bCs w:val="0"/>
                <w:sz w:val="24"/>
                <w:szCs w:val="24"/>
                <w:highlight w:val="none"/>
              </w:rPr>
            </w:pPr>
            <w:r>
              <w:rPr>
                <w:rFonts w:hint="eastAsia"/>
                <w:b w:val="0"/>
                <w:bCs w:val="0"/>
                <w:sz w:val="24"/>
                <w:szCs w:val="24"/>
                <w:highlight w:val="none"/>
              </w:rPr>
              <w:t>响应文件提交截止日后60天</w:t>
            </w:r>
          </w:p>
        </w:tc>
      </w:tr>
      <w:tr w14:paraId="60A96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BA364A5">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4</w:t>
            </w:r>
          </w:p>
        </w:tc>
        <w:tc>
          <w:tcPr>
            <w:tcW w:w="2070" w:type="dxa"/>
            <w:vAlign w:val="center"/>
          </w:tcPr>
          <w:p w14:paraId="54FEE470">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项目类型</w:t>
            </w:r>
          </w:p>
        </w:tc>
        <w:tc>
          <w:tcPr>
            <w:tcW w:w="7206" w:type="dxa"/>
            <w:vAlign w:val="center"/>
          </w:tcPr>
          <w:p w14:paraId="7891AB82">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b w:val="0"/>
                <w:bCs w:val="0"/>
                <w:sz w:val="24"/>
                <w:szCs w:val="24"/>
                <w:highlight w:val="none"/>
              </w:rPr>
            </w:pPr>
            <w:r>
              <w:rPr>
                <w:rFonts w:hint="eastAsia"/>
                <w:b w:val="0"/>
                <w:bCs w:val="0"/>
                <w:sz w:val="24"/>
                <w:szCs w:val="24"/>
                <w:highlight w:val="none"/>
                <w:lang w:val="en-US" w:eastAsia="zh-CN"/>
              </w:rPr>
              <w:t>货物</w:t>
            </w:r>
            <w:r>
              <w:rPr>
                <w:rFonts w:hint="eastAsia"/>
                <w:b w:val="0"/>
                <w:bCs w:val="0"/>
                <w:sz w:val="24"/>
                <w:szCs w:val="24"/>
                <w:highlight w:val="none"/>
              </w:rPr>
              <w:t>类</w:t>
            </w:r>
          </w:p>
        </w:tc>
      </w:tr>
      <w:tr w14:paraId="4033D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357D59E4">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5</w:t>
            </w:r>
          </w:p>
        </w:tc>
        <w:tc>
          <w:tcPr>
            <w:tcW w:w="2070" w:type="dxa"/>
            <w:vAlign w:val="center"/>
          </w:tcPr>
          <w:p w14:paraId="2949AB45">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项目名称</w:t>
            </w:r>
          </w:p>
        </w:tc>
        <w:tc>
          <w:tcPr>
            <w:tcW w:w="7206" w:type="dxa"/>
            <w:vAlign w:val="center"/>
          </w:tcPr>
          <w:p w14:paraId="5345E992">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rFonts w:hint="default" w:eastAsia="宋体"/>
                <w:sz w:val="24"/>
                <w:szCs w:val="24"/>
                <w:highlight w:val="none"/>
                <w:lang w:val="en-US" w:eastAsia="zh-CN"/>
              </w:rPr>
            </w:pPr>
            <w:r>
              <w:rPr>
                <w:rFonts w:hint="eastAsia" w:ascii="Times New Roman" w:hAnsi="Times New Roman" w:cs="Times New Roman"/>
                <w:b w:val="0"/>
                <w:bCs w:val="0"/>
                <w:kern w:val="2"/>
                <w:sz w:val="24"/>
                <w:szCs w:val="24"/>
                <w:highlight w:val="none"/>
                <w:lang w:val="en-US" w:eastAsia="zh-CN" w:bidi="ar-SA"/>
              </w:rPr>
              <w:t>霍山县社会福利中心升级改造项目-电梯采购与安装工程</w:t>
            </w:r>
          </w:p>
        </w:tc>
      </w:tr>
      <w:tr w14:paraId="69F4E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40" w:hRule="atLeast"/>
          <w:jc w:val="center"/>
        </w:trPr>
        <w:tc>
          <w:tcPr>
            <w:tcW w:w="484" w:type="dxa"/>
            <w:vAlign w:val="center"/>
          </w:tcPr>
          <w:p w14:paraId="523A5882">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6</w:t>
            </w:r>
          </w:p>
        </w:tc>
        <w:tc>
          <w:tcPr>
            <w:tcW w:w="2070" w:type="dxa"/>
            <w:vAlign w:val="center"/>
          </w:tcPr>
          <w:p w14:paraId="5AFB8347">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项目编号</w:t>
            </w:r>
          </w:p>
        </w:tc>
        <w:tc>
          <w:tcPr>
            <w:tcW w:w="7206" w:type="dxa"/>
            <w:vAlign w:val="center"/>
          </w:tcPr>
          <w:p w14:paraId="21F2EE19">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rFonts w:hint="default" w:eastAsia="宋体"/>
                <w:b w:val="0"/>
                <w:bCs w:val="0"/>
                <w:sz w:val="24"/>
                <w:szCs w:val="24"/>
                <w:highlight w:val="none"/>
                <w:lang w:val="en-US" w:eastAsia="zh-CN"/>
              </w:rPr>
            </w:pPr>
            <w:r>
              <w:rPr>
                <w:rFonts w:hint="eastAsia"/>
                <w:b w:val="0"/>
                <w:bCs w:val="0"/>
                <w:color w:val="000000" w:themeColor="text1"/>
                <w:sz w:val="24"/>
                <w:szCs w:val="24"/>
                <w:highlight w:val="none"/>
                <w:lang w:val="en-US" w:eastAsia="zh-CN"/>
                <w14:textFill>
                  <w14:solidFill>
                    <w14:schemeClr w14:val="tx1"/>
                  </w14:solidFill>
                </w14:textFill>
              </w:rPr>
              <w:t>AHZH-2026-014</w:t>
            </w:r>
          </w:p>
        </w:tc>
      </w:tr>
      <w:tr w14:paraId="1CFEC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75" w:hRule="atLeast"/>
          <w:jc w:val="center"/>
        </w:trPr>
        <w:tc>
          <w:tcPr>
            <w:tcW w:w="484" w:type="dxa"/>
            <w:vAlign w:val="center"/>
          </w:tcPr>
          <w:p w14:paraId="35BF4FA6">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7</w:t>
            </w:r>
          </w:p>
        </w:tc>
        <w:tc>
          <w:tcPr>
            <w:tcW w:w="2070" w:type="dxa"/>
            <w:vAlign w:val="center"/>
          </w:tcPr>
          <w:p w14:paraId="6D2848B5">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付款方式</w:t>
            </w:r>
          </w:p>
        </w:tc>
        <w:tc>
          <w:tcPr>
            <w:tcW w:w="7206" w:type="dxa"/>
            <w:vAlign w:val="center"/>
          </w:tcPr>
          <w:p w14:paraId="5045C792">
            <w:pPr>
              <w:keepNext w:val="0"/>
              <w:keepLines w:val="0"/>
              <w:pageBreakBefore w:val="0"/>
              <w:widowControl w:val="0"/>
              <w:pBdr>
                <w:bottom w:val="none" w:color="auto" w:sz="0" w:space="0"/>
              </w:pBdr>
              <w:kinsoku/>
              <w:wordWrap/>
              <w:overflowPunct/>
              <w:topLinePunct w:val="0"/>
              <w:autoSpaceDE/>
              <w:autoSpaceDN/>
              <w:bidi w:val="0"/>
              <w:adjustRightInd/>
              <w:snapToGrid/>
              <w:spacing w:line="440" w:lineRule="exact"/>
              <w:jc w:val="both"/>
              <w:rPr>
                <w:rFonts w:hint="default" w:ascii="黑体" w:hAnsi="黑体" w:eastAsia="黑体" w:cs="黑体"/>
                <w:szCs w:val="24"/>
                <w:highlight w:val="none"/>
                <w:lang w:val="en-US" w:eastAsia="zh-CN"/>
              </w:rPr>
            </w:pPr>
            <w:r>
              <w:rPr>
                <w:rFonts w:hint="eastAsia" w:eastAsia="宋体" w:cs="宋体"/>
                <w:b w:val="0"/>
                <w:bCs/>
                <w:sz w:val="24"/>
                <w:szCs w:val="24"/>
                <w:highlight w:val="none"/>
                <w:lang w:val="en-US" w:eastAsia="zh-CN"/>
              </w:rPr>
              <w:t>具体在合同中约定。</w:t>
            </w:r>
          </w:p>
        </w:tc>
      </w:tr>
      <w:tr w14:paraId="58B6E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10" w:hRule="atLeast"/>
          <w:jc w:val="center"/>
        </w:trPr>
        <w:tc>
          <w:tcPr>
            <w:tcW w:w="484" w:type="dxa"/>
            <w:vAlign w:val="center"/>
          </w:tcPr>
          <w:p w14:paraId="42276A56">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8</w:t>
            </w:r>
          </w:p>
        </w:tc>
        <w:tc>
          <w:tcPr>
            <w:tcW w:w="2070" w:type="dxa"/>
            <w:vAlign w:val="center"/>
          </w:tcPr>
          <w:p w14:paraId="692229DA">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宋体"/>
                <w:sz w:val="24"/>
                <w:szCs w:val="24"/>
                <w:highlight w:val="none"/>
                <w:lang w:eastAsia="zh-CN"/>
              </w:rPr>
            </w:pPr>
            <w:r>
              <w:rPr>
                <w:rFonts w:hint="eastAsia" w:ascii="宋体" w:hAnsi="宋体"/>
                <w:sz w:val="24"/>
                <w:szCs w:val="24"/>
                <w:highlight w:val="none"/>
                <w:lang w:val="en-US" w:eastAsia="zh-CN"/>
              </w:rPr>
              <w:t>服务期</w:t>
            </w:r>
          </w:p>
        </w:tc>
        <w:tc>
          <w:tcPr>
            <w:tcW w:w="7206" w:type="dxa"/>
            <w:vAlign w:val="center"/>
          </w:tcPr>
          <w:p w14:paraId="6BC41459">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rFonts w:hint="default"/>
                <w:b w:val="0"/>
                <w:bCs w:val="0"/>
                <w:sz w:val="24"/>
                <w:szCs w:val="24"/>
                <w:highlight w:val="none"/>
                <w:lang w:val="en-US"/>
              </w:rPr>
            </w:pPr>
            <w:r>
              <w:rPr>
                <w:rFonts w:hint="eastAsia" w:ascii="宋体" w:hAnsi="宋体" w:eastAsia="宋体" w:cs="宋体"/>
                <w:color w:val="auto"/>
                <w:kern w:val="2"/>
                <w:sz w:val="24"/>
                <w:szCs w:val="24"/>
                <w:highlight w:val="none"/>
                <w:shd w:val="clear" w:fill="FFFFFF"/>
                <w:lang w:val="en-US" w:eastAsia="zh-CN" w:bidi="ar"/>
              </w:rPr>
              <w:t>自签发开工令后30日历天完成全部工作内容。</w:t>
            </w:r>
          </w:p>
        </w:tc>
      </w:tr>
      <w:tr w14:paraId="0EC7B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10" w:hRule="atLeast"/>
          <w:jc w:val="center"/>
        </w:trPr>
        <w:tc>
          <w:tcPr>
            <w:tcW w:w="484" w:type="dxa"/>
            <w:vAlign w:val="center"/>
          </w:tcPr>
          <w:p w14:paraId="09A865E0">
            <w:pPr>
              <w:keepNext w:val="0"/>
              <w:keepLines w:val="0"/>
              <w:pageBreakBefore w:val="0"/>
              <w:widowControl w:val="0"/>
              <w:kinsoku/>
              <w:wordWrap/>
              <w:overflowPunct/>
              <w:topLinePunct w:val="0"/>
              <w:autoSpaceDE/>
              <w:autoSpaceDN/>
              <w:bidi w:val="0"/>
              <w:adjustRightInd/>
              <w:snapToGrid/>
              <w:spacing w:line="440" w:lineRule="exact"/>
              <w:jc w:val="center"/>
              <w:rPr>
                <w:rFonts w:hint="default" w:ascii="宋体" w:hAnsi="宋体" w:eastAsiaTheme="minorEastAsia" w:cstheme="minorBidi"/>
                <w:sz w:val="24"/>
                <w:szCs w:val="24"/>
                <w:highlight w:val="none"/>
                <w:lang w:val="en-US" w:eastAsia="zh-CN"/>
              </w:rPr>
            </w:pPr>
            <w:r>
              <w:rPr>
                <w:rFonts w:hint="eastAsia" w:ascii="宋体" w:hAnsi="宋体" w:cstheme="minorBidi"/>
                <w:sz w:val="24"/>
                <w:szCs w:val="24"/>
                <w:highlight w:val="none"/>
                <w:lang w:val="en-US" w:eastAsia="zh-CN"/>
              </w:rPr>
              <w:t>9</w:t>
            </w:r>
          </w:p>
        </w:tc>
        <w:tc>
          <w:tcPr>
            <w:tcW w:w="2070" w:type="dxa"/>
            <w:shd w:val="clear" w:color="auto" w:fill="auto"/>
            <w:vAlign w:val="center"/>
          </w:tcPr>
          <w:p w14:paraId="6510C3AF">
            <w:pPr>
              <w:pStyle w:val="10"/>
              <w:pBdr>
                <w:bottom w:val="none" w:color="auto" w:sz="0" w:space="0"/>
              </w:pBdr>
              <w:tabs>
                <w:tab w:val="clear" w:pos="4153"/>
                <w:tab w:val="clear" w:pos="8306"/>
              </w:tabs>
              <w:adjustRightInd/>
              <w:spacing w:line="440" w:lineRule="exact"/>
              <w:jc w:val="center"/>
              <w:textAlignment w:val="auto"/>
              <w:rPr>
                <w:rFonts w:hint="eastAsia" w:ascii="宋体" w:hAnsi="宋体" w:eastAsia="宋体" w:cstheme="minorBidi"/>
                <w:bCs/>
                <w:kern w:val="2"/>
                <w:sz w:val="24"/>
                <w:szCs w:val="24"/>
                <w:highlight w:val="none"/>
                <w:lang w:val="en-US" w:eastAsia="zh-CN"/>
              </w:rPr>
            </w:pPr>
            <w:r>
              <w:rPr>
                <w:rFonts w:hint="eastAsia" w:ascii="宋体" w:hAnsi="宋体"/>
                <w:bCs/>
                <w:kern w:val="2"/>
                <w:szCs w:val="24"/>
                <w:highlight w:val="none"/>
                <w:lang w:val="en-US" w:eastAsia="zh-CN"/>
              </w:rPr>
              <w:t>质保期</w:t>
            </w:r>
          </w:p>
        </w:tc>
        <w:tc>
          <w:tcPr>
            <w:tcW w:w="7206" w:type="dxa"/>
            <w:shd w:val="clear" w:color="auto" w:fill="auto"/>
            <w:vAlign w:val="center"/>
          </w:tcPr>
          <w:p w14:paraId="04F213D5">
            <w:pPr>
              <w:pStyle w:val="10"/>
              <w:pBdr>
                <w:bottom w:val="none" w:color="auto" w:sz="0" w:space="0"/>
              </w:pBdr>
              <w:tabs>
                <w:tab w:val="clear" w:pos="4153"/>
                <w:tab w:val="clear" w:pos="8306"/>
              </w:tabs>
              <w:adjustRightInd/>
              <w:spacing w:line="440" w:lineRule="exact"/>
              <w:jc w:val="left"/>
              <w:textAlignment w:val="auto"/>
              <w:rPr>
                <w:rFonts w:hint="eastAsia" w:asciiTheme="minorHAnsi" w:hAnsiTheme="minorHAnsi" w:eastAsiaTheme="minorEastAsia" w:cstheme="minorBidi"/>
                <w:b/>
                <w:bCs/>
                <w:kern w:val="0"/>
                <w:sz w:val="24"/>
                <w:szCs w:val="24"/>
                <w:highlight w:val="none"/>
                <w:lang w:val="en-US" w:eastAsia="zh-CN"/>
              </w:rPr>
            </w:pPr>
            <w:r>
              <w:rPr>
                <w:rFonts w:hint="eastAsia" w:ascii="宋体" w:hAnsi="宋体"/>
                <w:szCs w:val="24"/>
                <w:highlight w:val="none"/>
                <w:lang w:val="en-US"/>
              </w:rPr>
              <w:t>24个月</w:t>
            </w:r>
          </w:p>
        </w:tc>
      </w:tr>
      <w:tr w14:paraId="498F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591CABF">
            <w:pPr>
              <w:keepNext w:val="0"/>
              <w:keepLines w:val="0"/>
              <w:pageBreakBefore w:val="0"/>
              <w:widowControl w:val="0"/>
              <w:kinsoku/>
              <w:wordWrap/>
              <w:overflowPunct/>
              <w:topLinePunct w:val="0"/>
              <w:autoSpaceDE/>
              <w:autoSpaceDN/>
              <w:bidi w:val="0"/>
              <w:adjustRightInd/>
              <w:snapToGrid/>
              <w:spacing w:line="440" w:lineRule="exact"/>
              <w:jc w:val="center"/>
              <w:rPr>
                <w:rFonts w:hint="default" w:ascii="宋体" w:hAnsi="宋体" w:eastAsiaTheme="minorEastAsia" w:cstheme="minorBidi"/>
                <w:sz w:val="24"/>
                <w:szCs w:val="24"/>
                <w:highlight w:val="none"/>
                <w:lang w:val="en-US" w:eastAsia="zh-CN"/>
              </w:rPr>
            </w:pPr>
            <w:r>
              <w:rPr>
                <w:rFonts w:hint="eastAsia" w:ascii="宋体" w:hAnsi="宋体" w:cstheme="minorBidi"/>
                <w:sz w:val="24"/>
                <w:szCs w:val="24"/>
                <w:highlight w:val="none"/>
                <w:lang w:val="en-US" w:eastAsia="zh-CN"/>
              </w:rPr>
              <w:t>10</w:t>
            </w:r>
          </w:p>
        </w:tc>
        <w:tc>
          <w:tcPr>
            <w:tcW w:w="2070" w:type="dxa"/>
            <w:vAlign w:val="center"/>
          </w:tcPr>
          <w:p w14:paraId="2271B903">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Cs w:val="24"/>
                <w:highlight w:val="none"/>
              </w:rPr>
            </w:pPr>
            <w:r>
              <w:rPr>
                <w:rFonts w:hint="eastAsia" w:ascii="宋体" w:hAnsi="宋体" w:eastAsiaTheme="minorEastAsia" w:cstheme="minorBidi"/>
                <w:sz w:val="24"/>
                <w:szCs w:val="24"/>
                <w:highlight w:val="none"/>
                <w:lang w:val="en-US" w:eastAsia="zh-CN"/>
              </w:rPr>
              <w:t>成交服务费</w:t>
            </w:r>
          </w:p>
        </w:tc>
        <w:tc>
          <w:tcPr>
            <w:tcW w:w="7206" w:type="dxa"/>
            <w:vAlign w:val="center"/>
          </w:tcPr>
          <w:p w14:paraId="50653027">
            <w:pPr>
              <w:keepNext w:val="0"/>
              <w:keepLines w:val="0"/>
              <w:pageBreakBefore w:val="0"/>
              <w:widowControl w:val="0"/>
              <w:pBdr>
                <w:bottom w:val="none" w:color="auto" w:sz="0" w:space="0"/>
              </w:pBdr>
              <w:kinsoku/>
              <w:wordWrap/>
              <w:overflowPunct/>
              <w:topLinePunct w:val="0"/>
              <w:autoSpaceDE/>
              <w:autoSpaceDN/>
              <w:bidi w:val="0"/>
              <w:adjustRightInd/>
              <w:snapToGrid/>
              <w:spacing w:line="440" w:lineRule="exact"/>
              <w:jc w:val="both"/>
              <w:textAlignment w:val="auto"/>
              <w:rPr>
                <w:rFonts w:hint="eastAsia" w:eastAsia="宋体"/>
                <w:b/>
                <w:bCs/>
                <w:szCs w:val="24"/>
                <w:highlight w:val="none"/>
                <w:lang w:val="en-US" w:eastAsia="zh-CN"/>
              </w:rPr>
            </w:pPr>
            <w:r>
              <w:rPr>
                <w:rFonts w:hint="eastAsia" w:asciiTheme="minorHAnsi" w:hAnsiTheme="minorHAnsi" w:eastAsiaTheme="minorEastAsia" w:cstheme="minorBidi"/>
                <w:sz w:val="24"/>
                <w:szCs w:val="24"/>
                <w:highlight w:val="none"/>
                <w:lang w:eastAsia="zh-CN"/>
              </w:rPr>
              <w:t>根据《国家发展改革委关于进一步放开建设项目专业服务价格的通知》"发改价格【2015】299号）"文件规定，招标代理服务费以中标价（成交价）为计算基数，由中标人支付，专家评审费(具体以实际支付金额为准)由成交供应商在领取成交通知书时另行支付。招标代理费（元）不足2000元按照2000元计算。</w:t>
            </w:r>
          </w:p>
        </w:tc>
      </w:tr>
      <w:tr w14:paraId="0F324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FA0644E">
            <w:pPr>
              <w:keepNext w:val="0"/>
              <w:keepLines w:val="0"/>
              <w:pageBreakBefore w:val="0"/>
              <w:widowControl w:val="0"/>
              <w:kinsoku/>
              <w:wordWrap/>
              <w:overflowPunct/>
              <w:topLinePunct w:val="0"/>
              <w:autoSpaceDE/>
              <w:autoSpaceDN/>
              <w:bidi w:val="0"/>
              <w:adjustRightInd/>
              <w:snapToGrid/>
              <w:spacing w:line="440" w:lineRule="exact"/>
              <w:jc w:val="center"/>
              <w:rPr>
                <w:rFonts w:hint="default"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1</w:t>
            </w:r>
            <w:r>
              <w:rPr>
                <w:rFonts w:hint="eastAsia" w:ascii="宋体" w:hAnsi="宋体" w:cstheme="minorBidi"/>
                <w:sz w:val="24"/>
                <w:szCs w:val="24"/>
                <w:highlight w:val="none"/>
                <w:lang w:val="en-US" w:eastAsia="zh-CN"/>
              </w:rPr>
              <w:t>1</w:t>
            </w:r>
          </w:p>
        </w:tc>
        <w:tc>
          <w:tcPr>
            <w:tcW w:w="2070" w:type="dxa"/>
            <w:vAlign w:val="center"/>
          </w:tcPr>
          <w:p w14:paraId="3E0DC942">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履约保证金</w:t>
            </w:r>
          </w:p>
        </w:tc>
        <w:tc>
          <w:tcPr>
            <w:tcW w:w="7206" w:type="dxa"/>
            <w:vAlign w:val="center"/>
          </w:tcPr>
          <w:p w14:paraId="27B4BD32">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履约保证金保证方式：成交人可以通过转账、网银支付、汇票、支票、保证保险、银行履约保函（含电子保函）等方式提交履约保证金。</w:t>
            </w:r>
          </w:p>
          <w:p w14:paraId="5DC1D58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履约保证金数额：</w:t>
            </w:r>
            <w:r>
              <w:rPr>
                <w:rFonts w:hint="eastAsia" w:asciiTheme="minorHAnsi" w:hAnsiTheme="minorHAnsi" w:eastAsiaTheme="minorEastAsia" w:cstheme="minorBidi"/>
                <w:sz w:val="24"/>
                <w:szCs w:val="24"/>
                <w:highlight w:val="none"/>
                <w:lang w:val="en-US" w:eastAsia="zh-CN"/>
              </w:rPr>
              <w:t>无</w:t>
            </w:r>
            <w:r>
              <w:rPr>
                <w:rFonts w:hint="eastAsia" w:asciiTheme="minorHAnsi" w:hAnsiTheme="minorHAnsi" w:eastAsiaTheme="minorEastAsia" w:cstheme="minorBidi"/>
                <w:sz w:val="24"/>
                <w:szCs w:val="24"/>
                <w:highlight w:val="none"/>
                <w:lang w:eastAsia="zh-CN"/>
              </w:rPr>
              <w:t>。</w:t>
            </w:r>
          </w:p>
          <w:p w14:paraId="07E27817">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成交人以现金进行履约保证的，应将现金提交到以下指定的银行账户。成交人以银行履约保函或保证保险方式担保履约的，应将银行履约保函或保证保险交至采购人保管。成交人提交银行履约保函或保证保险的担保期限不得少于成交项目的合同期限。银行履约保函或保证保险担保期限到期但成交项目合同期限未结束的，成交人应当进行续保或者补缴履约保证金。成交人应当续保或者补缴履约保证金而没有续保或者补缴履约保证金的，采购人可以暂停支付成交人同等金额的合同款。</w:t>
            </w:r>
          </w:p>
          <w:p w14:paraId="465404C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汇入账户名称：签订合同前由采购人提供</w:t>
            </w:r>
          </w:p>
          <w:p w14:paraId="65E05F07">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汇入银行名称：签订合同前由采购人提供</w:t>
            </w:r>
          </w:p>
          <w:p w14:paraId="3CFAAF41">
            <w:pPr>
              <w:keepNext w:val="0"/>
              <w:keepLines w:val="0"/>
              <w:pageBreakBefore w:val="0"/>
              <w:widowControl w:val="0"/>
              <w:kinsoku/>
              <w:wordWrap/>
              <w:overflowPunct/>
              <w:topLinePunct w:val="0"/>
              <w:autoSpaceDE/>
              <w:autoSpaceDN/>
              <w:bidi w:val="0"/>
              <w:adjustRightInd/>
              <w:snapToGrid/>
              <w:spacing w:line="440" w:lineRule="exact"/>
              <w:jc w:val="left"/>
              <w:rPr>
                <w:rFonts w:hint="eastAsia" w:eastAsia="宋体"/>
                <w:b/>
                <w:bCs/>
                <w:highlight w:val="none"/>
                <w:lang w:eastAsia="zh-CN"/>
              </w:rPr>
            </w:pPr>
            <w:r>
              <w:rPr>
                <w:rFonts w:hint="eastAsia" w:asciiTheme="minorHAnsi" w:hAnsiTheme="minorHAnsi" w:eastAsiaTheme="minorEastAsia" w:cstheme="minorBidi"/>
                <w:sz w:val="24"/>
                <w:szCs w:val="24"/>
                <w:highlight w:val="none"/>
                <w:lang w:val="en-US" w:eastAsia="zh-CN"/>
              </w:rPr>
              <w:t>汇入银行帐号：签订合同前由采购人提供</w:t>
            </w:r>
          </w:p>
        </w:tc>
      </w:tr>
      <w:tr w14:paraId="55AFF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68" w:hRule="atLeast"/>
          <w:jc w:val="center"/>
        </w:trPr>
        <w:tc>
          <w:tcPr>
            <w:tcW w:w="484" w:type="dxa"/>
            <w:vAlign w:val="center"/>
          </w:tcPr>
          <w:p w14:paraId="51481D8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2</w:t>
            </w:r>
          </w:p>
        </w:tc>
        <w:tc>
          <w:tcPr>
            <w:tcW w:w="2070" w:type="dxa"/>
            <w:vAlign w:val="center"/>
          </w:tcPr>
          <w:p w14:paraId="415653B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勘察及对接</w:t>
            </w:r>
          </w:p>
        </w:tc>
        <w:tc>
          <w:tcPr>
            <w:tcW w:w="7206" w:type="dxa"/>
            <w:vAlign w:val="center"/>
          </w:tcPr>
          <w:p w14:paraId="5FDA4F7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请各供应商联系采购单位自行勘踏。 </w:t>
            </w:r>
          </w:p>
        </w:tc>
      </w:tr>
      <w:tr w14:paraId="0FD68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080E51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3</w:t>
            </w:r>
          </w:p>
        </w:tc>
        <w:tc>
          <w:tcPr>
            <w:tcW w:w="2070" w:type="dxa"/>
            <w:vAlign w:val="center"/>
          </w:tcPr>
          <w:p w14:paraId="0587C2A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提问与回复</w:t>
            </w:r>
          </w:p>
        </w:tc>
        <w:tc>
          <w:tcPr>
            <w:tcW w:w="7206" w:type="dxa"/>
            <w:vAlign w:val="center"/>
          </w:tcPr>
          <w:p w14:paraId="66C43373">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供应商若对采购文件有关内容存在理解障碍，或认为采购文件表述有模糊不清之处，可通过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提出，采购人（采购代理机构）收到供应商提问后将及时通过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回复。供应商提问（</w:t>
            </w:r>
            <w:r>
              <w:rPr>
                <w:rFonts w:hint="eastAsia" w:asciiTheme="minorHAnsi" w:hAnsiTheme="minorHAnsi" w:eastAsiaTheme="minorEastAsia" w:cstheme="minorBidi"/>
                <w:sz w:val="24"/>
                <w:szCs w:val="24"/>
                <w:highlight w:val="none"/>
                <w:lang w:val="en-US" w:eastAsia="zh-CN"/>
              </w:rPr>
              <w:t>非质疑的一般性问题</w:t>
            </w:r>
            <w:r>
              <w:rPr>
                <w:rFonts w:hint="eastAsia" w:asciiTheme="minorHAnsi" w:hAnsiTheme="minorHAnsi" w:eastAsiaTheme="minorEastAsia" w:cstheme="minorBidi"/>
                <w:sz w:val="24"/>
                <w:szCs w:val="24"/>
                <w:highlight w:val="none"/>
                <w:lang w:eastAsia="zh-CN"/>
              </w:rPr>
              <w:t>）时应当隐藏自身信息，直接提出针对项目的相关疑问即可。提交成功后请供应商及时通过</w:t>
            </w:r>
            <w:r>
              <w:rPr>
                <w:rFonts w:hint="eastAsia" w:asciiTheme="minorHAnsi" w:hAnsiTheme="minorHAnsi" w:eastAsiaTheme="minorEastAsia" w:cstheme="minorBidi"/>
                <w:sz w:val="24"/>
                <w:szCs w:val="24"/>
                <w:highlight w:val="none"/>
                <w:lang w:val="en-US" w:eastAsia="zh-CN"/>
              </w:rPr>
              <w:t>发出质疑的邮箱</w:t>
            </w:r>
            <w:r>
              <w:rPr>
                <w:rFonts w:hint="eastAsia" w:asciiTheme="minorHAnsi" w:hAnsiTheme="minorHAnsi" w:eastAsiaTheme="minorEastAsia" w:cstheme="minorBidi"/>
                <w:sz w:val="24"/>
                <w:szCs w:val="24"/>
                <w:highlight w:val="none"/>
                <w:lang w:eastAsia="zh-CN"/>
              </w:rPr>
              <w:t>查看回复内容。</w:t>
            </w:r>
          </w:p>
        </w:tc>
      </w:tr>
      <w:tr w14:paraId="7B796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33" w:hRule="atLeast"/>
          <w:jc w:val="center"/>
        </w:trPr>
        <w:tc>
          <w:tcPr>
            <w:tcW w:w="484" w:type="dxa"/>
            <w:vAlign w:val="center"/>
          </w:tcPr>
          <w:p w14:paraId="51F31F8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4</w:t>
            </w:r>
          </w:p>
        </w:tc>
        <w:tc>
          <w:tcPr>
            <w:tcW w:w="2070" w:type="dxa"/>
            <w:vAlign w:val="center"/>
          </w:tcPr>
          <w:p w14:paraId="5AB7A06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质疑与答疑</w:t>
            </w:r>
          </w:p>
        </w:tc>
        <w:tc>
          <w:tcPr>
            <w:tcW w:w="7206" w:type="dxa"/>
            <w:vAlign w:val="center"/>
          </w:tcPr>
          <w:p w14:paraId="16B4B55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1、质疑提出</w:t>
            </w:r>
            <w:r>
              <w:rPr>
                <w:rFonts w:hint="eastAsia" w:asciiTheme="minorHAnsi" w:hAnsiTheme="minorHAnsi" w:eastAsiaTheme="minorEastAsia" w:cstheme="minorBidi"/>
                <w:sz w:val="24"/>
                <w:szCs w:val="24"/>
                <w:highlight w:val="none"/>
                <w:lang w:val="en-US" w:eastAsia="zh-CN"/>
              </w:rPr>
              <w:t>具体步骤</w:t>
            </w:r>
            <w:r>
              <w:rPr>
                <w:rFonts w:hint="eastAsia" w:asciiTheme="minorHAnsi" w:hAnsiTheme="minorHAnsi" w:eastAsiaTheme="minorEastAsia" w:cstheme="minorBidi"/>
                <w:sz w:val="24"/>
                <w:szCs w:val="24"/>
                <w:highlight w:val="none"/>
                <w:lang w:eastAsia="zh-CN"/>
              </w:rPr>
              <w:t>：供应商若对采购文件有关内容存在质疑，可通过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递交至邮箱</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向采购人（采购代理机构）提出。质疑文件须按《政府采购质疑和投诉办法》（财政部令第94号）规定的要求制作（《质疑函》范本可通过“六安市公共资源交易中心（http://ggzy.luan.gov.cn）”-“政策法规”栏目下载），质疑文件不可匿名，须以附件形式加盖质疑人</w:t>
            </w:r>
            <w:r>
              <w:rPr>
                <w:rFonts w:hint="eastAsia" w:asciiTheme="minorHAnsi" w:hAnsiTheme="minorHAnsi" w:eastAsiaTheme="minorEastAsia" w:cstheme="minorBidi"/>
                <w:sz w:val="24"/>
                <w:szCs w:val="24"/>
                <w:highlight w:val="none"/>
                <w:lang w:val="en-US" w:eastAsia="zh-CN"/>
              </w:rPr>
              <w:t>公章</w:t>
            </w:r>
            <w:r>
              <w:rPr>
                <w:rFonts w:hint="eastAsia" w:asciiTheme="minorHAnsi" w:hAnsiTheme="minorHAnsi" w:eastAsiaTheme="minorEastAsia" w:cstheme="minorBidi"/>
                <w:sz w:val="24"/>
                <w:szCs w:val="24"/>
                <w:highlight w:val="none"/>
                <w:lang w:eastAsia="zh-CN"/>
              </w:rPr>
              <w:t>签章后</w:t>
            </w:r>
            <w:r>
              <w:rPr>
                <w:rFonts w:hint="eastAsia" w:asciiTheme="minorHAnsi" w:hAnsiTheme="minorHAnsi" w:eastAsiaTheme="minorEastAsia" w:cstheme="minorBidi"/>
                <w:sz w:val="24"/>
                <w:szCs w:val="24"/>
                <w:highlight w:val="none"/>
                <w:lang w:val="en-US" w:eastAsia="zh-CN"/>
              </w:rPr>
              <w:t>扫描</w:t>
            </w:r>
            <w:r>
              <w:rPr>
                <w:rFonts w:hint="eastAsia" w:asciiTheme="minorHAnsi" w:hAnsiTheme="minorHAnsi" w:eastAsiaTheme="minorEastAsia" w:cstheme="minorBidi"/>
                <w:sz w:val="24"/>
                <w:szCs w:val="24"/>
                <w:highlight w:val="none"/>
                <w:lang w:eastAsia="zh-CN"/>
              </w:rPr>
              <w:t>提交。</w:t>
            </w:r>
          </w:p>
          <w:p w14:paraId="2D48A03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2、质疑答</w:t>
            </w:r>
            <w:r>
              <w:rPr>
                <w:rFonts w:hint="eastAsia" w:asciiTheme="minorHAnsi" w:hAnsiTheme="minorHAnsi" w:eastAsiaTheme="minorEastAsia" w:cstheme="minorBidi"/>
                <w:sz w:val="24"/>
                <w:szCs w:val="24"/>
                <w:highlight w:val="none"/>
                <w:lang w:val="en-US" w:eastAsia="zh-CN"/>
              </w:rPr>
              <w:t>复</w:t>
            </w:r>
            <w:r>
              <w:rPr>
                <w:rFonts w:hint="eastAsia" w:asciiTheme="minorHAnsi" w:hAnsiTheme="minorHAnsi" w:eastAsiaTheme="minorEastAsia" w:cstheme="minorBidi"/>
                <w:sz w:val="24"/>
                <w:szCs w:val="24"/>
                <w:highlight w:val="none"/>
                <w:lang w:eastAsia="zh-CN"/>
              </w:rPr>
              <w:t>获取具体步骤：采购人（采购代理机构）将通过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于收到质疑文件后七个工作日内答复，请质疑人及时</w:t>
            </w:r>
            <w:r>
              <w:rPr>
                <w:rFonts w:hint="eastAsia" w:asciiTheme="minorHAnsi" w:hAnsiTheme="minorHAnsi" w:eastAsiaTheme="minorEastAsia" w:cstheme="minorBidi"/>
                <w:sz w:val="24"/>
                <w:szCs w:val="24"/>
                <w:highlight w:val="none"/>
                <w:lang w:val="en-US" w:eastAsia="zh-CN"/>
              </w:rPr>
              <w:t>通过发出质疑的邮箱</w:t>
            </w:r>
            <w:r>
              <w:rPr>
                <w:rFonts w:hint="eastAsia" w:asciiTheme="minorHAnsi" w:hAnsiTheme="minorHAnsi" w:eastAsiaTheme="minorEastAsia" w:cstheme="minorBidi"/>
                <w:sz w:val="24"/>
                <w:szCs w:val="24"/>
                <w:highlight w:val="none"/>
                <w:lang w:eastAsia="zh-CN"/>
              </w:rPr>
              <w:t>查收答疑文件。</w:t>
            </w:r>
          </w:p>
          <w:p w14:paraId="3B85A722">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3、请各潜在供应商在响应截止时间前，务必登录</w:t>
            </w:r>
            <w:r>
              <w:rPr>
                <w:rFonts w:hint="eastAsia" w:asciiTheme="minorHAnsi" w:hAnsiTheme="minorHAnsi" w:eastAsiaTheme="minorEastAsia" w:cstheme="minorBidi"/>
                <w:sz w:val="24"/>
                <w:szCs w:val="24"/>
                <w:highlight w:val="none"/>
                <w:lang w:val="en-US" w:eastAsia="zh-CN"/>
              </w:rPr>
              <w:t>安徽政华工程咨询有限公司网站（http://www.anhuizhenghua.cn）</w:t>
            </w:r>
            <w:r>
              <w:rPr>
                <w:rFonts w:hint="eastAsia" w:asciiTheme="minorHAnsi" w:hAnsiTheme="minorHAnsi" w:eastAsiaTheme="minorEastAsia" w:cstheme="minorBidi"/>
                <w:sz w:val="24"/>
                <w:szCs w:val="24"/>
                <w:highlight w:val="none"/>
                <w:lang w:eastAsia="zh-CN"/>
              </w:rPr>
              <w:t>，查看是否发布有关</w:t>
            </w:r>
            <w:r>
              <w:rPr>
                <w:rFonts w:hint="eastAsia" w:asciiTheme="minorHAnsi" w:hAnsiTheme="minorHAnsi" w:eastAsiaTheme="minorEastAsia" w:cstheme="minorBidi"/>
                <w:sz w:val="24"/>
                <w:szCs w:val="24"/>
                <w:highlight w:val="none"/>
                <w:lang w:val="en-US" w:eastAsia="zh-CN"/>
              </w:rPr>
              <w:t>该</w:t>
            </w:r>
            <w:r>
              <w:rPr>
                <w:rFonts w:hint="eastAsia" w:asciiTheme="minorHAnsi" w:hAnsiTheme="minorHAnsi" w:eastAsiaTheme="minorEastAsia" w:cstheme="minorBidi"/>
                <w:sz w:val="24"/>
                <w:szCs w:val="24"/>
                <w:highlight w:val="none"/>
                <w:lang w:eastAsia="zh-CN"/>
              </w:rPr>
              <w:t>项目更正公告</w:t>
            </w:r>
            <w:r>
              <w:rPr>
                <w:rFonts w:hint="eastAsia" w:asciiTheme="minorHAnsi" w:hAnsiTheme="minorHAnsi" w:eastAsiaTheme="minorEastAsia" w:cstheme="minorBidi"/>
                <w:sz w:val="24"/>
                <w:szCs w:val="24"/>
                <w:highlight w:val="none"/>
                <w:lang w:val="en-US" w:eastAsia="zh-CN"/>
              </w:rPr>
              <w:t>或澄清</w:t>
            </w:r>
            <w:r>
              <w:rPr>
                <w:rFonts w:hint="eastAsia" w:asciiTheme="minorHAnsi" w:hAnsiTheme="minorHAnsi" w:eastAsiaTheme="minorEastAsia" w:cstheme="minorBidi"/>
                <w:sz w:val="24"/>
                <w:szCs w:val="24"/>
                <w:highlight w:val="none"/>
                <w:lang w:eastAsia="zh-CN"/>
              </w:rPr>
              <w:t>。更正公告</w:t>
            </w:r>
            <w:r>
              <w:rPr>
                <w:rFonts w:hint="eastAsia" w:asciiTheme="minorHAnsi" w:hAnsiTheme="minorHAnsi" w:eastAsiaTheme="minorEastAsia" w:cstheme="minorBidi"/>
                <w:sz w:val="24"/>
                <w:szCs w:val="24"/>
                <w:highlight w:val="none"/>
                <w:lang w:val="en-US" w:eastAsia="zh-CN"/>
              </w:rPr>
              <w:t>或或澄清</w:t>
            </w:r>
            <w:r>
              <w:rPr>
                <w:rFonts w:hint="eastAsia" w:asciiTheme="minorHAnsi" w:hAnsiTheme="minorHAnsi" w:eastAsiaTheme="minorEastAsia" w:cstheme="minorBidi"/>
                <w:sz w:val="24"/>
                <w:szCs w:val="24"/>
                <w:highlight w:val="none"/>
                <w:lang w:eastAsia="zh-CN"/>
              </w:rPr>
              <w:t>为采购文件的有效组成部分，一经发布即为视同已通知所有潜在供应商，若因未及时关注而造成的一切后果，由供应商自行承担。</w:t>
            </w:r>
          </w:p>
        </w:tc>
      </w:tr>
      <w:tr w14:paraId="134F1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68993DE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5</w:t>
            </w:r>
          </w:p>
        </w:tc>
        <w:tc>
          <w:tcPr>
            <w:tcW w:w="2070" w:type="dxa"/>
            <w:vAlign w:val="center"/>
          </w:tcPr>
          <w:p w14:paraId="3AA85FF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响应文件份数及要求</w:t>
            </w:r>
          </w:p>
        </w:tc>
        <w:tc>
          <w:tcPr>
            <w:tcW w:w="7206" w:type="dxa"/>
            <w:vAlign w:val="center"/>
          </w:tcPr>
          <w:p w14:paraId="6B92196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b/>
                <w:bCs/>
                <w:sz w:val="24"/>
                <w:szCs w:val="24"/>
                <w:highlight w:val="none"/>
                <w:lang w:eastAsia="zh-CN"/>
              </w:rPr>
            </w:pPr>
            <w:r>
              <w:rPr>
                <w:rFonts w:hint="eastAsia" w:asciiTheme="minorHAnsi" w:hAnsiTheme="minorHAnsi" w:eastAsiaTheme="minorEastAsia" w:cstheme="minorBidi"/>
                <w:b w:val="0"/>
                <w:bCs w:val="0"/>
                <w:sz w:val="24"/>
                <w:szCs w:val="24"/>
                <w:highlight w:val="none"/>
                <w:lang w:eastAsia="zh-CN"/>
              </w:rPr>
              <w:t>正本：1份 ；副本：</w:t>
            </w:r>
            <w:r>
              <w:rPr>
                <w:rFonts w:hint="eastAsia" w:asciiTheme="minorHAnsi" w:hAnsiTheme="minorHAnsi" w:eastAsiaTheme="minorEastAsia" w:cstheme="minorBidi"/>
                <w:b w:val="0"/>
                <w:bCs w:val="0"/>
                <w:sz w:val="24"/>
                <w:szCs w:val="24"/>
                <w:highlight w:val="none"/>
                <w:lang w:val="en-US" w:eastAsia="zh-CN"/>
              </w:rPr>
              <w:t>2</w:t>
            </w:r>
            <w:r>
              <w:rPr>
                <w:rFonts w:hint="eastAsia" w:asciiTheme="minorHAnsi" w:hAnsiTheme="minorHAnsi" w:eastAsiaTheme="minorEastAsia" w:cstheme="minorBidi"/>
                <w:b w:val="0"/>
                <w:bCs w:val="0"/>
                <w:sz w:val="24"/>
                <w:szCs w:val="24"/>
                <w:highlight w:val="none"/>
                <w:lang w:eastAsia="zh-CN"/>
              </w:rPr>
              <w:t>份；</w:t>
            </w:r>
            <w:r>
              <w:rPr>
                <w:rFonts w:hint="eastAsia" w:asciiTheme="minorHAnsi" w:hAnsiTheme="minorHAnsi" w:eastAsiaTheme="minorEastAsia" w:cstheme="minorBidi"/>
                <w:b/>
                <w:bCs/>
                <w:sz w:val="24"/>
                <w:szCs w:val="24"/>
                <w:highlight w:val="none"/>
                <w:lang w:val="en-US" w:eastAsia="zh-CN"/>
              </w:rPr>
              <w:t>U盘电子文档1份（响应文件正本扫描件）</w:t>
            </w:r>
          </w:p>
          <w:p w14:paraId="1F84C80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要求：</w:t>
            </w:r>
          </w:p>
          <w:p w14:paraId="67A483B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val="en-US" w:eastAsia="zh-CN"/>
              </w:rPr>
              <w:t>1、</w:t>
            </w:r>
            <w:r>
              <w:rPr>
                <w:rFonts w:hint="eastAsia" w:asciiTheme="minorHAnsi" w:hAnsiTheme="minorHAnsi" w:eastAsiaTheme="minorEastAsia" w:cstheme="minorBidi"/>
                <w:sz w:val="24"/>
                <w:szCs w:val="24"/>
                <w:highlight w:val="none"/>
                <w:lang w:eastAsia="zh-CN"/>
              </w:rPr>
              <w:t>响应文件正本/副本需要分别装订。</w:t>
            </w:r>
          </w:p>
          <w:p w14:paraId="22506AC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如果响应文件没有按规定装订、分装、标记和密封，采购人和代理机构不承担提前开封的责任。</w:t>
            </w:r>
          </w:p>
          <w:p w14:paraId="4ED6B623">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响应文件正本与副本可以包装在一起密封提交，也可以分开包装密封提交。</w:t>
            </w:r>
          </w:p>
        </w:tc>
      </w:tr>
      <w:tr w14:paraId="207F1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4F227FC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6</w:t>
            </w:r>
          </w:p>
        </w:tc>
        <w:tc>
          <w:tcPr>
            <w:tcW w:w="2070" w:type="dxa"/>
            <w:vAlign w:val="center"/>
          </w:tcPr>
          <w:p w14:paraId="14661F5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递交响应文件注意事项</w:t>
            </w:r>
          </w:p>
        </w:tc>
        <w:tc>
          <w:tcPr>
            <w:tcW w:w="7206" w:type="dxa"/>
            <w:vAlign w:val="center"/>
          </w:tcPr>
          <w:p w14:paraId="3967478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响应文件必须在响应截止时间前</w:t>
            </w:r>
            <w:r>
              <w:rPr>
                <w:rFonts w:hint="eastAsia" w:asciiTheme="minorHAnsi" w:hAnsiTheme="minorHAnsi" w:eastAsiaTheme="minorEastAsia" w:cstheme="minorBidi"/>
                <w:sz w:val="24"/>
                <w:szCs w:val="24"/>
                <w:highlight w:val="none"/>
                <w:lang w:val="en-US" w:eastAsia="zh-CN"/>
              </w:rPr>
              <w:t>现场</w:t>
            </w:r>
            <w:r>
              <w:rPr>
                <w:rFonts w:hint="eastAsia" w:asciiTheme="minorHAnsi" w:hAnsiTheme="minorHAnsi" w:eastAsiaTheme="minorEastAsia" w:cstheme="minorBidi"/>
                <w:sz w:val="24"/>
                <w:szCs w:val="24"/>
                <w:highlight w:val="none"/>
                <w:lang w:eastAsia="zh-CN"/>
              </w:rPr>
              <w:t>递交。</w:t>
            </w:r>
          </w:p>
        </w:tc>
      </w:tr>
      <w:tr w14:paraId="7BDED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1384" w:hRule="atLeast"/>
          <w:jc w:val="center"/>
        </w:trPr>
        <w:tc>
          <w:tcPr>
            <w:tcW w:w="484" w:type="dxa"/>
            <w:vAlign w:val="center"/>
          </w:tcPr>
          <w:p w14:paraId="3DF0510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7</w:t>
            </w:r>
          </w:p>
        </w:tc>
        <w:tc>
          <w:tcPr>
            <w:tcW w:w="2070" w:type="dxa"/>
            <w:vAlign w:val="center"/>
          </w:tcPr>
          <w:p w14:paraId="6DD83EC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封套上应载明的信息</w:t>
            </w:r>
          </w:p>
        </w:tc>
        <w:tc>
          <w:tcPr>
            <w:tcW w:w="7206" w:type="dxa"/>
            <w:vAlign w:val="center"/>
          </w:tcPr>
          <w:p w14:paraId="09CD151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                   项目响应文件         </w:t>
            </w:r>
          </w:p>
          <w:p w14:paraId="20F65A1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项目编号：                                    </w:t>
            </w:r>
          </w:p>
          <w:p w14:paraId="18B8DEE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在</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年</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月</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日</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时前不得开启</w:t>
            </w:r>
          </w:p>
          <w:p w14:paraId="08EB69A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供应商名称：      </w:t>
            </w:r>
          </w:p>
          <w:p w14:paraId="58E05AE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供应商地址：</w:t>
            </w:r>
          </w:p>
        </w:tc>
      </w:tr>
      <w:tr w14:paraId="7287B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11" w:hRule="atLeast"/>
          <w:jc w:val="center"/>
        </w:trPr>
        <w:tc>
          <w:tcPr>
            <w:tcW w:w="484" w:type="dxa"/>
            <w:vAlign w:val="center"/>
          </w:tcPr>
          <w:p w14:paraId="4B3680A5">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8</w:t>
            </w:r>
          </w:p>
        </w:tc>
        <w:tc>
          <w:tcPr>
            <w:tcW w:w="2070" w:type="dxa"/>
            <w:vAlign w:val="center"/>
          </w:tcPr>
          <w:p w14:paraId="4063492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zh-CN" w:eastAsia="zh-CN"/>
              </w:rPr>
            </w:pPr>
            <w:r>
              <w:rPr>
                <w:rFonts w:hint="eastAsia" w:asciiTheme="minorHAnsi" w:hAnsiTheme="minorHAnsi" w:eastAsiaTheme="minorEastAsia" w:cstheme="minorBidi"/>
                <w:sz w:val="24"/>
                <w:szCs w:val="24"/>
                <w:highlight w:val="none"/>
                <w:lang w:eastAsia="zh-CN"/>
              </w:rPr>
              <w:t>备注一</w:t>
            </w:r>
          </w:p>
        </w:tc>
        <w:tc>
          <w:tcPr>
            <w:tcW w:w="7206" w:type="dxa"/>
            <w:vAlign w:val="center"/>
          </w:tcPr>
          <w:p w14:paraId="4A2CBEF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1、存在以下不良信用记录情形之一的，不得推荐为成交候选供应商：</w:t>
            </w:r>
          </w:p>
          <w:p w14:paraId="4C962D0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（1）供应商被人民法院列入失信被执行人的；</w:t>
            </w:r>
          </w:p>
          <w:p w14:paraId="36AFA12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（2）供应商被市场监督管理部门列入企业经营异常名录的；</w:t>
            </w:r>
          </w:p>
          <w:p w14:paraId="0188F52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（3）供应商被税务部门列入重大税收违法案件当事人名单的；</w:t>
            </w:r>
          </w:p>
          <w:p w14:paraId="4D15BDE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（4）供应商被政府采购监管部门列入政府采购严重违法失信行为记录名单的。</w:t>
            </w:r>
          </w:p>
          <w:p w14:paraId="3A68DE98">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2、联合体供应商，联合体任何一方存在上述不良信用记录的，视同联合体存在不良信用记录。</w:t>
            </w:r>
          </w:p>
          <w:p w14:paraId="5802818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3、不良信用记录查询渠道如下：</w:t>
            </w:r>
          </w:p>
          <w:p w14:paraId="626781F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（1）失信被执行人：信用中国官网（www.creditchina.gov.cn）</w:t>
            </w:r>
          </w:p>
          <w:p w14:paraId="160AA8E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（2）企业经营异常名录：信用中国官网（www.creditchina.gov.cn）</w:t>
            </w:r>
          </w:p>
          <w:p w14:paraId="30538C8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（3）重大税收违法案件当事人名单：信用中国官网（www.creditchina.gov.cn）</w:t>
            </w:r>
          </w:p>
          <w:p w14:paraId="2418C39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zh-CN" w:eastAsia="zh-CN"/>
              </w:rPr>
            </w:pPr>
            <w:r>
              <w:rPr>
                <w:rFonts w:hint="eastAsia" w:asciiTheme="minorHAnsi" w:hAnsiTheme="minorHAnsi" w:eastAsiaTheme="minorEastAsia" w:cstheme="minorBidi"/>
                <w:sz w:val="24"/>
                <w:szCs w:val="24"/>
                <w:highlight w:val="none"/>
                <w:lang w:eastAsia="zh-CN"/>
              </w:rPr>
              <w:t>（4）政府采购严重违法失信行为记录名单：中国政府采购官网（www.ccgp.gov.cn）</w:t>
            </w:r>
          </w:p>
        </w:tc>
      </w:tr>
      <w:tr w14:paraId="56050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54" w:hRule="atLeast"/>
          <w:jc w:val="center"/>
        </w:trPr>
        <w:tc>
          <w:tcPr>
            <w:tcW w:w="484" w:type="dxa"/>
            <w:vAlign w:val="center"/>
          </w:tcPr>
          <w:p w14:paraId="57759DE2">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9</w:t>
            </w:r>
          </w:p>
        </w:tc>
        <w:tc>
          <w:tcPr>
            <w:tcW w:w="2070" w:type="dxa"/>
            <w:vAlign w:val="center"/>
          </w:tcPr>
          <w:p w14:paraId="08610CE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备注二</w:t>
            </w:r>
          </w:p>
        </w:tc>
        <w:tc>
          <w:tcPr>
            <w:tcW w:w="7206" w:type="dxa"/>
            <w:vAlign w:val="center"/>
          </w:tcPr>
          <w:p w14:paraId="394E4CD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Theme="minorHAnsi" w:hAnsiTheme="minorHAnsi" w:eastAsiaTheme="minorEastAsia" w:cstheme="minorBidi"/>
                <w:sz w:val="24"/>
                <w:szCs w:val="24"/>
                <w:highlight w:val="none"/>
                <w:lang w:eastAsia="zh-CN"/>
              </w:rPr>
              <w:t>特别提醒：供应商参与政府采购，应当诚信守法、公平竞争。如有以提供虚假材料（包括但不限于虚假技术参数响应、虚假业绩、虚假证书、虚假检测报告等）、串通投标、隐瞒失信信息等谋取中标的行为，一经发现，将报监管部门严肃查处。</w:t>
            </w:r>
          </w:p>
        </w:tc>
      </w:tr>
      <w:tr w14:paraId="16F35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3DE61244">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cstheme="minorBidi"/>
                <w:sz w:val="24"/>
                <w:szCs w:val="24"/>
                <w:highlight w:val="none"/>
                <w:lang w:val="en-US" w:eastAsia="zh-CN"/>
              </w:rPr>
              <w:t>20</w:t>
            </w:r>
          </w:p>
        </w:tc>
        <w:tc>
          <w:tcPr>
            <w:tcW w:w="2070" w:type="dxa"/>
            <w:shd w:val="clear" w:color="auto" w:fill="auto"/>
            <w:vAlign w:val="center"/>
          </w:tcPr>
          <w:p w14:paraId="132ECD2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谈判时间（</w:t>
            </w:r>
            <w:r>
              <w:rPr>
                <w:rFonts w:hint="eastAsia" w:asciiTheme="minorHAnsi" w:hAnsiTheme="minorHAnsi" w:eastAsiaTheme="minorEastAsia" w:cstheme="minorBidi"/>
                <w:sz w:val="24"/>
                <w:szCs w:val="24"/>
                <w:highlight w:val="none"/>
                <w:lang w:eastAsia="zh-CN"/>
              </w:rPr>
              <w:t>响应截止时间</w:t>
            </w:r>
            <w:r>
              <w:rPr>
                <w:rFonts w:hint="eastAsia" w:asciiTheme="minorHAnsi" w:hAnsiTheme="minorHAnsi" w:eastAsiaTheme="minorEastAsia" w:cstheme="minorBidi"/>
                <w:sz w:val="24"/>
                <w:szCs w:val="24"/>
                <w:highlight w:val="none"/>
                <w:lang w:val="en-US" w:eastAsia="zh-CN"/>
              </w:rPr>
              <w:t>）及地点</w:t>
            </w:r>
          </w:p>
        </w:tc>
        <w:tc>
          <w:tcPr>
            <w:tcW w:w="7206" w:type="dxa"/>
            <w:shd w:val="clear" w:color="auto" w:fill="auto"/>
            <w:vAlign w:val="center"/>
          </w:tcPr>
          <w:p w14:paraId="24BF369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val="en-US" w:eastAsia="zh-CN"/>
              </w:rPr>
              <w:t>谈判时间（</w:t>
            </w:r>
            <w:r>
              <w:rPr>
                <w:rFonts w:hint="eastAsia" w:asciiTheme="minorHAnsi" w:hAnsiTheme="minorHAnsi" w:eastAsiaTheme="minorEastAsia" w:cstheme="minorBidi"/>
                <w:sz w:val="24"/>
                <w:szCs w:val="24"/>
                <w:highlight w:val="none"/>
                <w:lang w:eastAsia="zh-CN"/>
              </w:rPr>
              <w:t>响应截止时间</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2026年</w:t>
            </w:r>
            <w:r>
              <w:rPr>
                <w:rFonts w:hint="eastAsia" w:cstheme="minorBidi"/>
                <w:sz w:val="24"/>
                <w:szCs w:val="24"/>
                <w:highlight w:val="none"/>
                <w:lang w:val="en-US" w:eastAsia="zh-CN"/>
              </w:rPr>
              <w:t>5</w:t>
            </w:r>
            <w:r>
              <w:rPr>
                <w:rFonts w:hint="eastAsia" w:asciiTheme="minorHAnsi" w:hAnsiTheme="minorHAnsi" w:eastAsiaTheme="minorEastAsia" w:cstheme="minorBidi"/>
                <w:sz w:val="24"/>
                <w:szCs w:val="24"/>
                <w:highlight w:val="none"/>
                <w:lang w:eastAsia="zh-CN"/>
              </w:rPr>
              <w:t>月</w:t>
            </w:r>
            <w:r>
              <w:rPr>
                <w:rFonts w:hint="eastAsia" w:cstheme="minorBidi"/>
                <w:sz w:val="24"/>
                <w:szCs w:val="24"/>
                <w:highlight w:val="none"/>
                <w:lang w:val="en-US" w:eastAsia="zh-CN"/>
              </w:rPr>
              <w:t>18</w:t>
            </w:r>
            <w:r>
              <w:rPr>
                <w:rFonts w:hint="eastAsia" w:asciiTheme="minorHAnsi" w:hAnsiTheme="minorHAnsi" w:eastAsiaTheme="minorEastAsia" w:cstheme="minorBidi"/>
                <w:sz w:val="24"/>
                <w:szCs w:val="24"/>
                <w:highlight w:val="none"/>
                <w:lang w:eastAsia="zh-CN"/>
              </w:rPr>
              <w:t>日</w:t>
            </w:r>
            <w:r>
              <w:rPr>
                <w:rFonts w:hint="eastAsia" w:asciiTheme="minorHAnsi" w:hAnsiTheme="minorHAnsi" w:eastAsiaTheme="minorEastAsia" w:cstheme="minorBidi"/>
                <w:sz w:val="24"/>
                <w:szCs w:val="24"/>
                <w:highlight w:val="none"/>
                <w:lang w:val="en-US" w:eastAsia="zh-CN"/>
              </w:rPr>
              <w:t>09</w:t>
            </w:r>
            <w:r>
              <w:rPr>
                <w:rFonts w:hint="eastAsia" w:asciiTheme="minorHAnsi" w:hAnsiTheme="minorHAnsi" w:eastAsiaTheme="minorEastAsia" w:cstheme="minorBidi"/>
                <w:sz w:val="24"/>
                <w:szCs w:val="24"/>
                <w:highlight w:val="none"/>
                <w:lang w:eastAsia="zh-CN"/>
              </w:rPr>
              <w:t>时</w:t>
            </w:r>
            <w:r>
              <w:rPr>
                <w:rFonts w:hint="eastAsia" w:asciiTheme="minorHAnsi" w:hAnsiTheme="minorHAnsi" w:eastAsiaTheme="minorEastAsia" w:cstheme="minorBidi"/>
                <w:sz w:val="24"/>
                <w:szCs w:val="24"/>
                <w:highlight w:val="none"/>
                <w:lang w:val="en-US" w:eastAsia="zh-CN"/>
              </w:rPr>
              <w:t>00</w:t>
            </w:r>
            <w:r>
              <w:rPr>
                <w:rFonts w:hint="eastAsia" w:asciiTheme="minorHAnsi" w:hAnsiTheme="minorHAnsi" w:eastAsiaTheme="minorEastAsia" w:cstheme="minorBidi"/>
                <w:sz w:val="24"/>
                <w:szCs w:val="24"/>
                <w:highlight w:val="none"/>
                <w:lang w:eastAsia="zh-CN"/>
              </w:rPr>
              <w:t>分</w:t>
            </w:r>
          </w:p>
          <w:p w14:paraId="1943013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Theme="minorHAnsi" w:hAnsiTheme="minorHAnsi" w:eastAsiaTheme="minorEastAsia" w:cstheme="minorBidi"/>
                <w:sz w:val="24"/>
                <w:szCs w:val="24"/>
                <w:highlight w:val="none"/>
                <w:lang w:val="en-US" w:eastAsia="zh-CN"/>
              </w:rPr>
              <w:t>地点：安徽省六安市霍山县经济开发区三板桥路与霍山大道交叉口（东城执法中队三楼）</w:t>
            </w:r>
          </w:p>
        </w:tc>
      </w:tr>
      <w:tr w14:paraId="6D1F3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676131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2</w:t>
            </w:r>
            <w:r>
              <w:rPr>
                <w:rFonts w:hint="eastAsia" w:cstheme="minorBidi"/>
                <w:sz w:val="24"/>
                <w:szCs w:val="24"/>
                <w:highlight w:val="none"/>
                <w:lang w:val="en-US" w:eastAsia="zh-CN"/>
              </w:rPr>
              <w:t>1</w:t>
            </w:r>
          </w:p>
        </w:tc>
        <w:tc>
          <w:tcPr>
            <w:tcW w:w="2070" w:type="dxa"/>
            <w:shd w:val="clear" w:color="auto" w:fill="auto"/>
            <w:vAlign w:val="center"/>
          </w:tcPr>
          <w:p w14:paraId="3326FD4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注意事项</w:t>
            </w:r>
          </w:p>
        </w:tc>
        <w:tc>
          <w:tcPr>
            <w:tcW w:w="7206" w:type="dxa"/>
            <w:shd w:val="clear" w:color="auto" w:fill="auto"/>
            <w:vAlign w:val="center"/>
          </w:tcPr>
          <w:p w14:paraId="58438146">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Theme="minorHAnsi" w:hAnsiTheme="minorHAnsi" w:eastAsiaTheme="minorEastAsia" w:cstheme="minorBidi"/>
                <w:sz w:val="24"/>
                <w:szCs w:val="24"/>
                <w:highlight w:val="none"/>
                <w:lang w:val="en-US" w:eastAsia="zh-CN"/>
              </w:rPr>
              <w:t>异常低价：</w:t>
            </w:r>
            <w:r>
              <w:rPr>
                <w:rFonts w:hint="eastAsia" w:asciiTheme="minorHAnsi" w:hAnsiTheme="minorHAnsi" w:eastAsiaTheme="minorEastAsia" w:cstheme="minorBidi"/>
                <w:sz w:val="24"/>
                <w:szCs w:val="24"/>
                <w:highlight w:val="none"/>
                <w:lang w:eastAsia="zh-CN"/>
              </w:rPr>
              <w:t>谈判小组发现供应商的最终报价明显低于其他供应商的最终报价或者明显低于预算价或最高限价，有可能影响质量和不能诚信履约的，应当要求其在规定的期限内提供书面文件予以解释说明，并提交相关证明材料。该供应商不能合理说明或者不能提供相应证明材料的，谈判小组可以认定其低于成本价，</w:t>
            </w:r>
            <w:r>
              <w:rPr>
                <w:rFonts w:hint="eastAsia" w:asciiTheme="minorHAnsi" w:hAnsiTheme="minorHAnsi" w:eastAsiaTheme="minorEastAsia" w:cstheme="minorBidi"/>
                <w:sz w:val="24"/>
                <w:szCs w:val="24"/>
                <w:highlight w:val="none"/>
                <w:lang w:val="en-US" w:eastAsia="zh-CN"/>
              </w:rPr>
              <w:t>否决其报价</w:t>
            </w:r>
            <w:r>
              <w:rPr>
                <w:rFonts w:hint="eastAsia" w:asciiTheme="minorHAnsi" w:hAnsiTheme="minorHAnsi" w:eastAsiaTheme="minorEastAsia" w:cstheme="minorBidi"/>
                <w:sz w:val="24"/>
                <w:szCs w:val="24"/>
                <w:highlight w:val="none"/>
                <w:lang w:eastAsia="zh-CN"/>
              </w:rPr>
              <w:t>。</w:t>
            </w:r>
          </w:p>
        </w:tc>
      </w:tr>
      <w:tr w14:paraId="5F27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FF85EE2">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2</w:t>
            </w:r>
            <w:r>
              <w:rPr>
                <w:rFonts w:hint="eastAsia" w:cstheme="minorBidi"/>
                <w:sz w:val="24"/>
                <w:szCs w:val="24"/>
                <w:highlight w:val="none"/>
                <w:lang w:val="en-US" w:eastAsia="zh-CN"/>
              </w:rPr>
              <w:t>2</w:t>
            </w:r>
          </w:p>
        </w:tc>
        <w:tc>
          <w:tcPr>
            <w:tcW w:w="2070" w:type="dxa"/>
            <w:shd w:val="clear" w:color="auto" w:fill="auto"/>
            <w:vAlign w:val="center"/>
          </w:tcPr>
          <w:p w14:paraId="2120CED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谈判文件解释权</w:t>
            </w:r>
          </w:p>
        </w:tc>
        <w:tc>
          <w:tcPr>
            <w:tcW w:w="7206" w:type="dxa"/>
            <w:shd w:val="clear" w:color="auto" w:fill="auto"/>
            <w:vAlign w:val="center"/>
          </w:tcPr>
          <w:p w14:paraId="5B418FF8">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本谈判文件的解释权归采购人。</w:t>
            </w:r>
          </w:p>
        </w:tc>
      </w:tr>
    </w:tbl>
    <w:p w14:paraId="235709A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p>
    <w:p w14:paraId="4174DB6C">
      <w:pPr>
        <w:rPr>
          <w:rFonts w:ascii="宋体" w:hAnsi="宋体" w:cs="宋体"/>
          <w:sz w:val="24"/>
          <w:szCs w:val="24"/>
          <w:highlight w:val="none"/>
        </w:rPr>
      </w:pPr>
      <w:r>
        <w:rPr>
          <w:rFonts w:hint="eastAsia" w:ascii="宋体" w:hAnsi="宋体" w:cs="宋体"/>
          <w:sz w:val="24"/>
          <w:szCs w:val="24"/>
          <w:highlight w:val="none"/>
        </w:rPr>
        <w:br w:type="page"/>
      </w:r>
    </w:p>
    <w:p w14:paraId="7895EF04">
      <w:pPr>
        <w:spacing w:before="0" w:after="0" w:line="430" w:lineRule="exact"/>
        <w:ind w:firstLine="2400" w:firstLineChars="1000"/>
        <w:jc w:val="both"/>
        <w:rPr>
          <w:rFonts w:ascii="宋体" w:hAnsi="宋体" w:eastAsia="宋体" w:cs="宋体"/>
          <w:sz w:val="24"/>
          <w:szCs w:val="24"/>
          <w:highlight w:val="none"/>
        </w:rPr>
      </w:pPr>
      <w:bookmarkStart w:id="22" w:name="_Toc7878"/>
      <w:r>
        <w:rPr>
          <w:rFonts w:hint="eastAsia" w:ascii="宋体" w:hAnsi="宋体" w:eastAsia="宋体" w:cs="宋体"/>
          <w:sz w:val="24"/>
          <w:szCs w:val="24"/>
          <w:highlight w:val="none"/>
        </w:rPr>
        <w:t>（二）供应商资格</w:t>
      </w:r>
      <w:bookmarkEnd w:id="22"/>
    </w:p>
    <w:bookmarkEnd w:id="19"/>
    <w:p w14:paraId="6FFAB5C9">
      <w:pPr>
        <w:spacing w:after="0" w:line="430" w:lineRule="exact"/>
        <w:ind w:firstLine="420" w:firstLineChars="200"/>
        <w:jc w:val="center"/>
        <w:rPr>
          <w:highlight w:val="none"/>
        </w:rPr>
      </w:pPr>
      <w:bookmarkStart w:id="23" w:name="_Toc438648662"/>
      <w:bookmarkStart w:id="24" w:name="_Toc216158625"/>
      <w:bookmarkStart w:id="25" w:name="_Toc363199266"/>
      <w:r>
        <w:rPr>
          <w:rFonts w:hint="eastAsia"/>
          <w:highlight w:val="none"/>
        </w:rPr>
        <w:t>见本项目采购公告</w:t>
      </w:r>
    </w:p>
    <w:p w14:paraId="6FE74206">
      <w:pPr>
        <w:spacing w:before="0" w:after="0" w:line="430" w:lineRule="exact"/>
        <w:jc w:val="center"/>
        <w:rPr>
          <w:rFonts w:ascii="宋体" w:hAnsi="宋体" w:eastAsia="宋体" w:cs="宋体"/>
          <w:sz w:val="24"/>
          <w:szCs w:val="24"/>
          <w:highlight w:val="none"/>
        </w:rPr>
      </w:pPr>
      <w:bookmarkStart w:id="26" w:name="_Toc27352"/>
      <w:r>
        <w:rPr>
          <w:rFonts w:hint="eastAsia" w:ascii="宋体" w:hAnsi="宋体" w:eastAsia="宋体" w:cs="宋体"/>
          <w:sz w:val="24"/>
          <w:szCs w:val="24"/>
          <w:highlight w:val="none"/>
        </w:rPr>
        <w:t>（三）供应商必须提交的响应文件内容</w:t>
      </w:r>
      <w:bookmarkEnd w:id="23"/>
      <w:bookmarkEnd w:id="24"/>
      <w:bookmarkEnd w:id="25"/>
      <w:bookmarkEnd w:id="26"/>
    </w:p>
    <w:p w14:paraId="691084E4">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1、报价单；</w:t>
      </w:r>
    </w:p>
    <w:p w14:paraId="3CFDA1C2">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2、供应商基本信息；</w:t>
      </w:r>
    </w:p>
    <w:p w14:paraId="0B36A200">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3、谈判授权书；</w:t>
      </w:r>
    </w:p>
    <w:p w14:paraId="0E594D6B">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4、谈判响应函；</w:t>
      </w:r>
    </w:p>
    <w:p w14:paraId="7CAC21CD">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5、无重大违法记录声明函、无不良信用记录承诺函；</w:t>
      </w:r>
    </w:p>
    <w:p w14:paraId="78B8EB25">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6、响应情况表；</w:t>
      </w:r>
    </w:p>
    <w:p w14:paraId="3560271B">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7、服务承诺函；</w:t>
      </w:r>
    </w:p>
    <w:p w14:paraId="3038A568">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8、谈判文件要求和供应商认为需要提供的其它说明和资料。</w:t>
      </w:r>
    </w:p>
    <w:p w14:paraId="450BF8A0">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9、最终报价</w:t>
      </w:r>
      <w:r>
        <w:rPr>
          <w:rFonts w:hint="eastAsia" w:ascii="宋体" w:hAnsi="宋体"/>
          <w:sz w:val="24"/>
          <w:szCs w:val="24"/>
          <w:highlight w:val="none"/>
          <w:lang w:val="en-US" w:eastAsia="zh-CN"/>
        </w:rPr>
        <w:t>书</w:t>
      </w:r>
      <w:r>
        <w:rPr>
          <w:rFonts w:hint="eastAsia" w:ascii="宋体" w:hAnsi="宋体"/>
          <w:sz w:val="24"/>
          <w:szCs w:val="24"/>
          <w:highlight w:val="none"/>
        </w:rPr>
        <w:t xml:space="preserve"> </w:t>
      </w:r>
    </w:p>
    <w:p w14:paraId="2522A0C6">
      <w:pPr>
        <w:spacing w:before="0" w:after="0" w:line="430" w:lineRule="exact"/>
        <w:jc w:val="center"/>
        <w:rPr>
          <w:rFonts w:ascii="宋体" w:hAnsi="宋体" w:eastAsia="宋体" w:cs="宋体"/>
          <w:sz w:val="24"/>
          <w:szCs w:val="24"/>
          <w:highlight w:val="none"/>
        </w:rPr>
      </w:pPr>
      <w:bookmarkStart w:id="27" w:name="_Toc21125"/>
      <w:r>
        <w:rPr>
          <w:rFonts w:hint="eastAsia" w:ascii="宋体" w:hAnsi="宋体" w:eastAsia="宋体" w:cs="宋体"/>
          <w:sz w:val="24"/>
          <w:szCs w:val="24"/>
          <w:highlight w:val="none"/>
        </w:rPr>
        <w:t>（四）响应文件的提交</w:t>
      </w:r>
      <w:bookmarkEnd w:id="27"/>
    </w:p>
    <w:p w14:paraId="1C83301F">
      <w:pPr>
        <w:spacing w:line="430" w:lineRule="exact"/>
        <w:ind w:firstLine="480" w:firstLineChars="200"/>
        <w:rPr>
          <w:rFonts w:ascii="宋体" w:hAnsi="宋体"/>
          <w:sz w:val="24"/>
          <w:szCs w:val="24"/>
          <w:highlight w:val="none"/>
        </w:rPr>
      </w:pPr>
      <w:bookmarkStart w:id="28" w:name="_Toc15127"/>
      <w:r>
        <w:rPr>
          <w:rFonts w:hint="eastAsia" w:ascii="宋体" w:hAnsi="宋体"/>
          <w:sz w:val="24"/>
          <w:szCs w:val="24"/>
          <w:highlight w:val="none"/>
        </w:rPr>
        <w:t>1.响应文件密封</w:t>
      </w:r>
    </w:p>
    <w:p w14:paraId="2CDA5A68">
      <w:pPr>
        <w:spacing w:line="430" w:lineRule="exact"/>
        <w:ind w:firstLine="480" w:firstLineChars="200"/>
        <w:rPr>
          <w:rFonts w:ascii="宋体" w:hAnsi="宋体"/>
          <w:sz w:val="24"/>
          <w:szCs w:val="24"/>
          <w:highlight w:val="none"/>
        </w:rPr>
      </w:pPr>
      <w:r>
        <w:rPr>
          <w:rFonts w:hint="eastAsia" w:ascii="宋体" w:hAnsi="宋体"/>
          <w:sz w:val="24"/>
          <w:szCs w:val="24"/>
          <w:highlight w:val="none"/>
        </w:rPr>
        <w:t>1.1响应文件应密封包装，并在封套的封口处加盖供应商单位章或由供应商的法定代表人（单位负责人）或其授权的代理人签字。</w:t>
      </w:r>
    </w:p>
    <w:p w14:paraId="1F7BE545">
      <w:pPr>
        <w:spacing w:line="430" w:lineRule="exact"/>
        <w:ind w:firstLine="480" w:firstLineChars="200"/>
        <w:rPr>
          <w:rFonts w:ascii="宋体" w:hAnsi="宋体"/>
          <w:sz w:val="24"/>
          <w:szCs w:val="24"/>
          <w:highlight w:val="none"/>
        </w:rPr>
      </w:pPr>
      <w:r>
        <w:rPr>
          <w:rFonts w:hint="eastAsia" w:ascii="宋体" w:hAnsi="宋体"/>
          <w:sz w:val="24"/>
          <w:szCs w:val="24"/>
          <w:highlight w:val="none"/>
        </w:rPr>
        <w:t>1.2 响应文件封套上应写明的内容见供应商须知前附表。</w:t>
      </w:r>
    </w:p>
    <w:p w14:paraId="319D7D84">
      <w:pPr>
        <w:spacing w:line="430" w:lineRule="exact"/>
        <w:ind w:firstLine="480" w:firstLineChars="200"/>
        <w:rPr>
          <w:rFonts w:ascii="宋体" w:hAnsi="宋体"/>
          <w:sz w:val="24"/>
          <w:szCs w:val="24"/>
          <w:highlight w:val="none"/>
        </w:rPr>
      </w:pPr>
      <w:r>
        <w:rPr>
          <w:rFonts w:hint="eastAsia" w:ascii="宋体" w:hAnsi="宋体"/>
          <w:sz w:val="24"/>
          <w:szCs w:val="24"/>
          <w:highlight w:val="none"/>
        </w:rPr>
        <w:t>1.3 如果未按规定封装或加写标记，采购代理机构将不承担响应文件错放或提前开封的责任，并可能导致响应无效。</w:t>
      </w:r>
    </w:p>
    <w:p w14:paraId="7650DA51">
      <w:pPr>
        <w:spacing w:line="430" w:lineRule="exact"/>
        <w:ind w:firstLine="480" w:firstLineChars="200"/>
        <w:rPr>
          <w:rFonts w:ascii="宋体" w:hAnsi="宋体"/>
          <w:sz w:val="24"/>
          <w:szCs w:val="24"/>
          <w:highlight w:val="none"/>
        </w:rPr>
      </w:pPr>
      <w:r>
        <w:rPr>
          <w:rFonts w:hint="eastAsia" w:ascii="宋体" w:hAnsi="宋体"/>
          <w:sz w:val="24"/>
          <w:szCs w:val="24"/>
          <w:highlight w:val="none"/>
        </w:rPr>
        <w:t xml:space="preserve">2.响应文件的提交 </w:t>
      </w:r>
    </w:p>
    <w:p w14:paraId="506985D1">
      <w:pPr>
        <w:spacing w:line="430" w:lineRule="exact"/>
        <w:ind w:firstLine="480" w:firstLineChars="200"/>
        <w:rPr>
          <w:rFonts w:ascii="宋体" w:hAnsi="宋体"/>
          <w:sz w:val="24"/>
          <w:szCs w:val="24"/>
          <w:highlight w:val="none"/>
        </w:rPr>
      </w:pPr>
      <w:r>
        <w:rPr>
          <w:rFonts w:hint="eastAsia" w:ascii="宋体" w:hAnsi="宋体"/>
          <w:sz w:val="24"/>
          <w:szCs w:val="24"/>
          <w:highlight w:val="none"/>
        </w:rPr>
        <w:t>2.1 供应商应在供应商须知前附表规定的响应文件递交截止时间前递交响应文件。</w:t>
      </w:r>
    </w:p>
    <w:p w14:paraId="45302591">
      <w:pPr>
        <w:spacing w:line="430" w:lineRule="exact"/>
        <w:ind w:firstLine="480" w:firstLineChars="200"/>
        <w:rPr>
          <w:rFonts w:ascii="宋体" w:hAnsi="宋体"/>
          <w:sz w:val="24"/>
          <w:szCs w:val="24"/>
          <w:highlight w:val="none"/>
        </w:rPr>
      </w:pPr>
      <w:r>
        <w:rPr>
          <w:rFonts w:hint="eastAsia" w:ascii="宋体" w:hAnsi="宋体"/>
          <w:sz w:val="24"/>
          <w:szCs w:val="24"/>
          <w:highlight w:val="none"/>
        </w:rPr>
        <w:t>2.2 供应商递交响应文件的地点：见供应商须知前附表。</w:t>
      </w:r>
    </w:p>
    <w:p w14:paraId="07D27936">
      <w:pPr>
        <w:spacing w:line="430" w:lineRule="exact"/>
        <w:ind w:firstLine="480" w:firstLineChars="200"/>
        <w:rPr>
          <w:rFonts w:ascii="宋体" w:hAnsi="宋体"/>
          <w:sz w:val="24"/>
          <w:szCs w:val="24"/>
          <w:highlight w:val="none"/>
        </w:rPr>
      </w:pPr>
      <w:r>
        <w:rPr>
          <w:rFonts w:hint="eastAsia" w:ascii="宋体" w:hAnsi="宋体"/>
          <w:sz w:val="24"/>
          <w:szCs w:val="24"/>
          <w:highlight w:val="none"/>
        </w:rPr>
        <w:t>2.3 除供应商须知前附表另有规定外，供应商所递交的响应文件不予退还。</w:t>
      </w:r>
    </w:p>
    <w:p w14:paraId="2922157A">
      <w:pPr>
        <w:spacing w:line="430" w:lineRule="exact"/>
        <w:ind w:firstLine="480" w:firstLineChars="200"/>
        <w:rPr>
          <w:rFonts w:ascii="宋体" w:hAnsi="宋体"/>
          <w:sz w:val="24"/>
          <w:szCs w:val="24"/>
          <w:highlight w:val="none"/>
        </w:rPr>
      </w:pPr>
      <w:r>
        <w:rPr>
          <w:rFonts w:hint="eastAsia" w:ascii="宋体" w:hAnsi="宋体"/>
          <w:sz w:val="24"/>
          <w:szCs w:val="24"/>
          <w:highlight w:val="none"/>
        </w:rPr>
        <w:t>2.4逾期送达的或者未送达指定地点的响应文件，采购人将予以拒收。</w:t>
      </w:r>
    </w:p>
    <w:p w14:paraId="065CD469">
      <w:pPr>
        <w:spacing w:line="430" w:lineRule="exact"/>
        <w:ind w:firstLine="480" w:firstLineChars="200"/>
        <w:rPr>
          <w:rFonts w:ascii="宋体" w:hAnsi="宋体"/>
          <w:sz w:val="24"/>
          <w:szCs w:val="24"/>
          <w:highlight w:val="none"/>
        </w:rPr>
      </w:pPr>
      <w:r>
        <w:rPr>
          <w:rFonts w:hint="eastAsia" w:ascii="宋体" w:hAnsi="宋体"/>
          <w:sz w:val="24"/>
          <w:szCs w:val="24"/>
          <w:highlight w:val="none"/>
        </w:rPr>
        <w:t>3.响应文件的修改和撤回</w:t>
      </w:r>
    </w:p>
    <w:p w14:paraId="080993BD">
      <w:pPr>
        <w:spacing w:line="430" w:lineRule="exact"/>
        <w:ind w:firstLine="480" w:firstLineChars="200"/>
        <w:rPr>
          <w:rFonts w:ascii="宋体" w:hAnsi="宋体"/>
          <w:sz w:val="24"/>
          <w:szCs w:val="24"/>
          <w:highlight w:val="none"/>
        </w:rPr>
      </w:pPr>
      <w:r>
        <w:rPr>
          <w:rFonts w:hint="eastAsia" w:ascii="宋体" w:hAnsi="宋体"/>
          <w:sz w:val="24"/>
          <w:szCs w:val="24"/>
          <w:highlight w:val="none"/>
        </w:rPr>
        <w:t>3.1供应商在提交响应文件截止时间前，可以对所提交的响应文件进行补充、修改或者撤回，并以书面形式通知采购人。补充、修改的内容作为响应文件的组成部分。补充、修改的内容与响应文件不一致的，以补充、修改的内容为准。</w:t>
      </w:r>
    </w:p>
    <w:p w14:paraId="55038B31">
      <w:pPr>
        <w:spacing w:line="430" w:lineRule="exact"/>
        <w:ind w:firstLine="480" w:firstLineChars="200"/>
        <w:rPr>
          <w:rFonts w:ascii="宋体" w:hAnsi="宋体"/>
          <w:sz w:val="24"/>
          <w:szCs w:val="24"/>
          <w:highlight w:val="none"/>
        </w:rPr>
      </w:pPr>
      <w:r>
        <w:rPr>
          <w:rFonts w:hint="eastAsia" w:ascii="宋体" w:hAnsi="宋体"/>
          <w:sz w:val="24"/>
          <w:szCs w:val="24"/>
          <w:highlight w:val="none"/>
        </w:rPr>
        <w:t>3.2供应商的修改书或撤回通知书，应按规定进行编制、密封、标记和提交，且标明“修改”或“撤回”字样。</w:t>
      </w:r>
    </w:p>
    <w:p w14:paraId="443F194B">
      <w:pPr>
        <w:spacing w:line="430" w:lineRule="exact"/>
        <w:ind w:firstLine="480" w:firstLineChars="200"/>
        <w:rPr>
          <w:rFonts w:ascii="宋体" w:hAnsi="宋体"/>
          <w:sz w:val="24"/>
          <w:szCs w:val="24"/>
          <w:highlight w:val="none"/>
        </w:rPr>
      </w:pPr>
      <w:r>
        <w:rPr>
          <w:rFonts w:hint="eastAsia" w:ascii="宋体" w:hAnsi="宋体"/>
          <w:sz w:val="24"/>
          <w:szCs w:val="24"/>
          <w:highlight w:val="none"/>
        </w:rPr>
        <w:t>3.3提交响应文件截止时间后不得修改响应文件。但属于谈判小组在评审中发现的计算错误并进行核实的修改、按照谈判文件的变动情况和谈判小组的要求重新提交响应文件的，不在此列。</w:t>
      </w:r>
    </w:p>
    <w:p w14:paraId="5A2A98CB">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（五）谈判程序</w:t>
      </w:r>
      <w:bookmarkEnd w:id="28"/>
    </w:p>
    <w:p w14:paraId="51C04366">
      <w:pPr>
        <w:keepNext w:val="0"/>
        <w:keepLines w:val="0"/>
        <w:pageBreakBefore w:val="0"/>
        <w:widowControl w:val="0"/>
        <w:kinsoku/>
        <w:wordWrap/>
        <w:overflowPunct/>
        <w:topLinePunct w:val="0"/>
        <w:autoSpaceDE/>
        <w:autoSpaceDN/>
        <w:bidi w:val="0"/>
        <w:adjustRightInd/>
        <w:snapToGrid/>
        <w:spacing w:line="490" w:lineRule="exact"/>
        <w:ind w:firstLine="480" w:firstLineChars="200"/>
        <w:textAlignment w:val="auto"/>
        <w:rPr>
          <w:rFonts w:ascii="宋体" w:hAnsi="宋体" w:eastAsia="宋体" w:cs="Arial"/>
          <w:kern w:val="2"/>
          <w:sz w:val="24"/>
          <w:szCs w:val="24"/>
          <w:highlight w:val="none"/>
          <w:lang w:val="en-US" w:eastAsia="zh-CN" w:bidi="ar-SA"/>
        </w:rPr>
      </w:pPr>
      <w:bookmarkStart w:id="29" w:name="_Toc16969"/>
      <w:r>
        <w:rPr>
          <w:rFonts w:hint="eastAsia" w:ascii="宋体" w:hAnsi="宋体" w:eastAsia="宋体" w:cs="Arial"/>
          <w:kern w:val="2"/>
          <w:sz w:val="24"/>
          <w:szCs w:val="24"/>
          <w:highlight w:val="none"/>
          <w:lang w:val="en-US" w:eastAsia="zh-CN" w:bidi="ar-SA"/>
        </w:rPr>
        <w:t>1、谈判人员是按规定组成的三人或三人以上的谈判小组。采购人（代理机构）确定本项目谈判小组</w:t>
      </w:r>
      <w:r>
        <w:rPr>
          <w:rFonts w:hint="eastAsia" w:ascii="宋体" w:hAnsi="宋体" w:eastAsia="宋体" w:cs="Arial"/>
          <w:kern w:val="2"/>
          <w:sz w:val="24"/>
          <w:szCs w:val="24"/>
          <w:highlight w:val="none"/>
          <w:u w:val="single"/>
          <w:lang w:val="en-US" w:eastAsia="zh-CN" w:bidi="ar-SA"/>
        </w:rPr>
        <w:t xml:space="preserve">  3  </w:t>
      </w:r>
      <w:r>
        <w:rPr>
          <w:rFonts w:hint="eastAsia" w:ascii="宋体" w:hAnsi="宋体" w:eastAsia="宋体" w:cs="Arial"/>
          <w:kern w:val="2"/>
          <w:sz w:val="24"/>
          <w:szCs w:val="24"/>
          <w:highlight w:val="none"/>
          <w:lang w:val="en-US" w:eastAsia="zh-CN" w:bidi="ar-SA"/>
        </w:rPr>
        <w:t>人（达到公开招标数额标准的项目，谈判小组应当由5人以上单数组成）。</w:t>
      </w:r>
    </w:p>
    <w:p w14:paraId="5742E481">
      <w:pPr>
        <w:keepNext w:val="0"/>
        <w:keepLines w:val="0"/>
        <w:pageBreakBefore w:val="0"/>
        <w:widowControl w:val="0"/>
        <w:tabs>
          <w:tab w:val="left" w:pos="900"/>
        </w:tabs>
        <w:kinsoku/>
        <w:wordWrap/>
        <w:overflowPunct/>
        <w:topLinePunct w:val="0"/>
        <w:autoSpaceDE/>
        <w:autoSpaceDN/>
        <w:bidi w:val="0"/>
        <w:adjustRightInd/>
        <w:snapToGrid/>
        <w:spacing w:line="490" w:lineRule="exact"/>
        <w:ind w:firstLine="480" w:firstLineChars="200"/>
        <w:jc w:val="left"/>
        <w:textAlignment w:val="auto"/>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2、在掌握了供应商的基本情况后，谈判小组将与供应商分别进行谈判。</w:t>
      </w:r>
    </w:p>
    <w:p w14:paraId="0053528C">
      <w:pPr>
        <w:keepNext w:val="0"/>
        <w:keepLines w:val="0"/>
        <w:pageBreakBefore w:val="0"/>
        <w:widowControl w:val="0"/>
        <w:tabs>
          <w:tab w:val="left" w:pos="900"/>
        </w:tabs>
        <w:kinsoku/>
        <w:wordWrap/>
        <w:overflowPunct/>
        <w:topLinePunct w:val="0"/>
        <w:autoSpaceDE/>
        <w:autoSpaceDN/>
        <w:bidi w:val="0"/>
        <w:adjustRightInd/>
        <w:snapToGrid/>
        <w:spacing w:line="490" w:lineRule="exact"/>
        <w:ind w:firstLine="480" w:firstLineChars="200"/>
        <w:jc w:val="left"/>
        <w:textAlignment w:val="auto"/>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3、谈判是</w:t>
      </w:r>
      <w:r>
        <w:rPr>
          <w:rFonts w:ascii="宋体" w:hAnsi="宋体" w:eastAsia="宋体" w:cs="Arial"/>
          <w:kern w:val="2"/>
          <w:sz w:val="24"/>
          <w:szCs w:val="24"/>
          <w:highlight w:val="none"/>
          <w:lang w:val="en-US" w:eastAsia="zh-CN" w:bidi="ar-SA"/>
        </w:rPr>
        <w:t>分别</w:t>
      </w:r>
      <w:r>
        <w:rPr>
          <w:rFonts w:hint="eastAsia" w:ascii="宋体" w:hAnsi="宋体" w:eastAsia="宋体" w:cs="Arial"/>
          <w:kern w:val="2"/>
          <w:sz w:val="24"/>
          <w:szCs w:val="24"/>
          <w:highlight w:val="none"/>
          <w:lang w:val="en-US" w:eastAsia="zh-CN" w:bidi="ar-SA"/>
        </w:rPr>
        <w:t>单独进行的。供应商不得与其他参与谈判的供应商相互串通；谈判小组也不得将与某一供应商的谈判情况向其他供应商及其关系人透露。</w:t>
      </w:r>
    </w:p>
    <w:p w14:paraId="10C190E3">
      <w:pPr>
        <w:pageBreakBefore w:val="0"/>
        <w:tabs>
          <w:tab w:val="left" w:pos="900"/>
        </w:tabs>
        <w:kinsoku/>
        <w:wordWrap/>
        <w:overflowPunct/>
        <w:topLinePunct w:val="0"/>
        <w:autoSpaceDE/>
        <w:autoSpaceDN/>
        <w:bidi w:val="0"/>
        <w:snapToGrid/>
        <w:spacing w:line="490" w:lineRule="exact"/>
        <w:ind w:firstLine="480" w:firstLineChars="200"/>
        <w:jc w:val="left"/>
        <w:rPr>
          <w:rFonts w:ascii="宋体" w:hAnsi="宋体"/>
          <w:sz w:val="24"/>
          <w:szCs w:val="24"/>
          <w:highlight w:val="none"/>
        </w:rPr>
      </w:pPr>
      <w:r>
        <w:rPr>
          <w:rFonts w:hint="eastAsia" w:ascii="宋体" w:hAnsi="宋体" w:eastAsia="宋体" w:cs="Arial"/>
          <w:kern w:val="2"/>
          <w:sz w:val="24"/>
          <w:szCs w:val="24"/>
          <w:highlight w:val="none"/>
          <w:lang w:val="en-US" w:eastAsia="zh-CN" w:bidi="ar-SA"/>
        </w:rPr>
        <w:t>4、谈判采用一轮谈判、两轮报价的方式进行。但最终采取多少轮谈判，由谈判小组视情况而定。</w:t>
      </w:r>
    </w:p>
    <w:p w14:paraId="43D98B74">
      <w:pPr>
        <w:tabs>
          <w:tab w:val="left" w:pos="900"/>
        </w:tabs>
        <w:spacing w:line="430" w:lineRule="exact"/>
        <w:ind w:firstLine="480" w:firstLineChars="200"/>
        <w:rPr>
          <w:rFonts w:ascii="宋体" w:hAnsi="宋体"/>
          <w:b/>
          <w:bCs/>
          <w:sz w:val="24"/>
          <w:szCs w:val="24"/>
          <w:highlight w:val="none"/>
        </w:rPr>
      </w:pPr>
      <w:r>
        <w:rPr>
          <w:rFonts w:hint="eastAsia" w:ascii="宋体" w:hAnsi="宋体"/>
          <w:sz w:val="24"/>
          <w:szCs w:val="24"/>
          <w:highlight w:val="none"/>
          <w:lang w:val="en-US" w:eastAsia="zh-CN"/>
        </w:rPr>
        <w:t>5</w:t>
      </w:r>
      <w:r>
        <w:rPr>
          <w:rFonts w:hint="eastAsia" w:ascii="宋体" w:hAnsi="宋体"/>
          <w:sz w:val="24"/>
          <w:szCs w:val="24"/>
          <w:highlight w:val="none"/>
        </w:rPr>
        <w:t>、谈判结束后，谈判小组将要求所有符合条件的供应商在规定的时间内进行最后的报价。供应商应在谈判小组发出二轮报价指令后 30分钟内完成报价，</w:t>
      </w:r>
      <w:r>
        <w:rPr>
          <w:rFonts w:hint="eastAsia" w:ascii="宋体" w:hAnsi="宋体"/>
          <w:b/>
          <w:bCs/>
          <w:sz w:val="24"/>
          <w:szCs w:val="24"/>
          <w:highlight w:val="none"/>
        </w:rPr>
        <w:t>若供应商未在谈判小组规定的时间内提交最后的报价，则其前一轮报价即为该供应商最后的报价（后一轮报价不得高于前一轮报价，否则，报价无效）。</w:t>
      </w:r>
    </w:p>
    <w:p w14:paraId="2E09E893">
      <w:pP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6</w:t>
      </w:r>
      <w:r>
        <w:rPr>
          <w:rFonts w:hint="eastAsia" w:ascii="宋体" w:hAnsi="宋体"/>
          <w:sz w:val="24"/>
          <w:szCs w:val="24"/>
          <w:highlight w:val="none"/>
        </w:rPr>
        <w:t>、供应商必须在规定的时间内将自己在谈判中作出的澄清、变动以及最终的报价，经法定代表人或被授权代表签字后，以书面的方式提交给谈判小组。</w:t>
      </w:r>
    </w:p>
    <w:p w14:paraId="3123372D">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（六）评审及异常情况处理</w:t>
      </w:r>
      <w:bookmarkEnd w:id="29"/>
    </w:p>
    <w:bookmarkEnd w:id="20"/>
    <w:bookmarkEnd w:id="21"/>
    <w:p w14:paraId="34F2106B">
      <w:pPr>
        <w:spacing w:line="430" w:lineRule="exact"/>
        <w:ind w:firstLine="480" w:firstLineChars="200"/>
        <w:rPr>
          <w:rFonts w:ascii="宋体" w:hAnsi="宋体" w:cs="Arial"/>
          <w:sz w:val="24"/>
          <w:szCs w:val="24"/>
          <w:highlight w:val="none"/>
        </w:rPr>
      </w:pPr>
      <w:bookmarkStart w:id="30" w:name="_Toc18914"/>
      <w:r>
        <w:rPr>
          <w:rFonts w:hint="eastAsia" w:ascii="宋体" w:hAnsi="宋体"/>
          <w:sz w:val="24"/>
          <w:szCs w:val="24"/>
          <w:highlight w:val="none"/>
        </w:rPr>
        <w:t>1、</w:t>
      </w:r>
      <w:r>
        <w:rPr>
          <w:rFonts w:hint="eastAsia" w:ascii="宋体" w:hAnsi="宋体" w:cs="Arial"/>
          <w:sz w:val="24"/>
          <w:szCs w:val="24"/>
          <w:highlight w:val="none"/>
        </w:rPr>
        <w:t>谈判小组将遵循公平、公正的原则，对供应商最终提交的确认价进行综合评审，根据符合采购需求、质量和服务相等且报价最低的原则推荐出成交供应商。如果最后一轮报价出现多家供应商报价相同时，谈判小组将采取抽签的方式确定成交候选人。</w:t>
      </w:r>
    </w:p>
    <w:p w14:paraId="7190EBF2">
      <w:pPr>
        <w:spacing w:line="430" w:lineRule="exact"/>
        <w:ind w:firstLine="480" w:firstLineChars="200"/>
        <w:rPr>
          <w:rFonts w:ascii="宋体" w:hAnsi="宋体"/>
          <w:sz w:val="24"/>
          <w:szCs w:val="24"/>
          <w:highlight w:val="none"/>
        </w:rPr>
      </w:pPr>
      <w:r>
        <w:rPr>
          <w:rFonts w:hint="eastAsia" w:ascii="宋体" w:hAnsi="宋体"/>
          <w:sz w:val="24"/>
          <w:szCs w:val="24"/>
          <w:highlight w:val="none"/>
        </w:rPr>
        <w:t>2、谈判时出现以下情况之一的，将予以废标：</w:t>
      </w:r>
    </w:p>
    <w:p w14:paraId="178EE647">
      <w:pPr>
        <w:spacing w:line="430" w:lineRule="exact"/>
        <w:ind w:firstLine="480" w:firstLineChars="200"/>
        <w:rPr>
          <w:rFonts w:ascii="宋体" w:hAnsi="宋体"/>
          <w:sz w:val="24"/>
          <w:szCs w:val="24"/>
          <w:highlight w:val="none"/>
        </w:rPr>
      </w:pPr>
      <w:r>
        <w:rPr>
          <w:rFonts w:hint="eastAsia" w:ascii="宋体" w:hAnsi="宋体"/>
          <w:sz w:val="24"/>
          <w:szCs w:val="24"/>
          <w:highlight w:val="none"/>
        </w:rPr>
        <w:t>（1）符合专业条件的供应商或者对采购文件作实质性响应的供应商不足三家的；</w:t>
      </w:r>
    </w:p>
    <w:p w14:paraId="58D7445E">
      <w:pPr>
        <w:spacing w:line="430" w:lineRule="exact"/>
        <w:ind w:firstLine="480" w:firstLineChars="200"/>
        <w:rPr>
          <w:rFonts w:ascii="宋体" w:hAnsi="宋体"/>
          <w:sz w:val="24"/>
          <w:szCs w:val="24"/>
          <w:highlight w:val="none"/>
        </w:rPr>
      </w:pPr>
      <w:r>
        <w:rPr>
          <w:rFonts w:hint="eastAsia" w:ascii="宋体" w:hAnsi="宋体"/>
          <w:sz w:val="24"/>
          <w:szCs w:val="24"/>
          <w:highlight w:val="none"/>
        </w:rPr>
        <w:t>（2）供应商的报价均超过了采购预算，经过多轮谈判仍不能降到预算内、且采购人不能支付的；</w:t>
      </w:r>
    </w:p>
    <w:p w14:paraId="354FEF57">
      <w:pPr>
        <w:spacing w:line="430" w:lineRule="exact"/>
        <w:ind w:firstLine="480" w:firstLineChars="200"/>
        <w:rPr>
          <w:rFonts w:ascii="宋体" w:hAnsi="宋体"/>
          <w:sz w:val="24"/>
          <w:szCs w:val="24"/>
          <w:highlight w:val="none"/>
        </w:rPr>
      </w:pPr>
      <w:r>
        <w:rPr>
          <w:rFonts w:hint="eastAsia" w:ascii="宋体" w:hAnsi="宋体"/>
          <w:sz w:val="24"/>
          <w:szCs w:val="24"/>
          <w:highlight w:val="none"/>
        </w:rPr>
        <w:t>（3）经过谈判，供应商所提供的货物服务仍无法满足谈判文件实质性要求、影响工作的；</w:t>
      </w:r>
    </w:p>
    <w:p w14:paraId="48546E6B">
      <w:pPr>
        <w:spacing w:line="430" w:lineRule="exact"/>
        <w:ind w:firstLine="480" w:firstLineChars="200"/>
        <w:rPr>
          <w:rFonts w:ascii="宋体" w:hAnsi="宋体"/>
          <w:sz w:val="24"/>
          <w:szCs w:val="24"/>
          <w:highlight w:val="none"/>
        </w:rPr>
      </w:pPr>
      <w:r>
        <w:rPr>
          <w:rFonts w:hint="eastAsia" w:ascii="宋体" w:hAnsi="宋体"/>
          <w:sz w:val="24"/>
          <w:szCs w:val="24"/>
          <w:highlight w:val="none"/>
        </w:rPr>
        <w:t>（4）出现影响采购公正的违法、违规行为的；</w:t>
      </w:r>
    </w:p>
    <w:p w14:paraId="214CCBDB">
      <w:pPr>
        <w:spacing w:line="430" w:lineRule="exact"/>
        <w:ind w:firstLine="480" w:firstLineChars="200"/>
        <w:rPr>
          <w:rFonts w:ascii="宋体" w:hAnsi="宋体"/>
          <w:sz w:val="24"/>
          <w:szCs w:val="24"/>
          <w:highlight w:val="none"/>
        </w:rPr>
      </w:pPr>
      <w:r>
        <w:rPr>
          <w:rFonts w:hint="eastAsia" w:ascii="宋体" w:hAnsi="宋体"/>
          <w:sz w:val="24"/>
          <w:szCs w:val="24"/>
          <w:highlight w:val="none"/>
        </w:rPr>
        <w:t>（5）因重大变故，采购任务取消的。</w:t>
      </w:r>
    </w:p>
    <w:p w14:paraId="4DE1AFF3">
      <w:pPr>
        <w:spacing w:line="430" w:lineRule="exact"/>
        <w:ind w:firstLine="480" w:firstLineChars="200"/>
        <w:rPr>
          <w:rFonts w:ascii="宋体" w:hAnsi="宋体"/>
          <w:sz w:val="24"/>
          <w:szCs w:val="24"/>
          <w:highlight w:val="none"/>
        </w:rPr>
      </w:pPr>
      <w:r>
        <w:rPr>
          <w:rFonts w:hint="eastAsia" w:ascii="宋体" w:hAnsi="宋体"/>
          <w:sz w:val="24"/>
          <w:szCs w:val="24"/>
          <w:highlight w:val="none"/>
        </w:rPr>
        <w:t>3、重新组织谈判，采购单位将通过</w:t>
      </w:r>
      <w:r>
        <w:rPr>
          <w:rFonts w:hint="eastAsia" w:ascii="宋体" w:hAnsi="宋体"/>
          <w:sz w:val="24"/>
          <w:szCs w:val="24"/>
          <w:highlight w:val="none"/>
          <w:lang w:val="en-US" w:eastAsia="zh-CN"/>
        </w:rPr>
        <w:t>安徽政华工程咨询有限公司网站</w:t>
      </w:r>
      <w:r>
        <w:rPr>
          <w:rFonts w:hint="eastAsia" w:ascii="宋体" w:hAnsi="宋体"/>
          <w:sz w:val="24"/>
          <w:szCs w:val="24"/>
          <w:highlight w:val="none"/>
        </w:rPr>
        <w:t>进行公告。</w:t>
      </w:r>
    </w:p>
    <w:p w14:paraId="5AF41D82">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（七）报价响应及答疑</w:t>
      </w:r>
      <w:bookmarkEnd w:id="30"/>
    </w:p>
    <w:p w14:paraId="180488D3">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1、响应报价应含有所投货物的税费（如关税、进口货物及其所用原材料、各种国内、外税费等）及包装、运至最终目的地的运输、保险、现场落地、安装调试、培训和交付后规定免费维保期内维保等环节所发生的应有费用。响应报价为供应商在响应文件中提出的各项支付金额的总和。</w:t>
      </w:r>
    </w:p>
    <w:p w14:paraId="6533C1BC">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2、谈判文件中没有提及谈判货物来源地的，根据《政府采购法》的相关规定均应是本国货物，优先采购节能、环保产品。如涉及政府强制采购节能产品，必须在财政部公布的强制采购产品清单范围内选择适用产品。提交响应的货物必须是合法生产的符合国家有关要求的货物，并满足谈判文件规定的规格、参数、质量、价格、有效期、售后服务等要求。</w:t>
      </w:r>
    </w:p>
    <w:p w14:paraId="1BE2FD87">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3、产品的质量必须符合国家有关方面规定的标准和厂方的标准，供货时必须提供完整的技术资料及质量合格证书、中文简体保修卡（单）、说明书和随货有关单证，设备完好，物品配件齐全。提供的产品必须是正规渠道全新的合格品。售后服务必须符合国家有关方面的规定和厂方的规定。</w:t>
      </w:r>
    </w:p>
    <w:p w14:paraId="3279108F">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4、供应商应自行对供货及安装现场和周围环境进行勘察，以获取编制响应文件和签署合同所需的资料。勘察现场所发生的费用由供应商自己承担。采购人向供应商提供的有关供货现场的资料和数据，是采购人现有的能使供应商利用的资料。采购人对供应商由此而做出的推论、理解和结论概不负责。供应商因自身原因未到供货现场实地踏勘的，成交后签订合同时和履约过程中，不得以不完全了解现场情况为由，提出任何形式的增加合同外造价或索赔的要求。</w:t>
      </w:r>
    </w:p>
    <w:p w14:paraId="0D7E776E">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rPr>
          <w:rFonts w:hint="eastAsia" w:asciiTheme="minorHAnsi" w:hAnsiTheme="minorHAnsi" w:eastAsiaTheme="minorEastAsia" w:cstheme="minorBidi"/>
          <w:sz w:val="24"/>
          <w:szCs w:val="24"/>
          <w:highlight w:val="none"/>
          <w:lang w:eastAsia="zh-CN"/>
        </w:rPr>
      </w:pPr>
      <w:r>
        <w:rPr>
          <w:rFonts w:hint="eastAsia" w:ascii="宋体" w:hAnsi="宋体"/>
          <w:sz w:val="24"/>
          <w:szCs w:val="24"/>
          <w:highlight w:val="none"/>
        </w:rPr>
        <w:t>5、供应商如果对谈判文件的其他任何内容有相关疑问，</w:t>
      </w:r>
      <w:r>
        <w:rPr>
          <w:rFonts w:hint="eastAsia" w:asciiTheme="minorHAnsi" w:hAnsiTheme="minorHAnsi" w:eastAsiaTheme="minorEastAsia" w:cstheme="minorBidi"/>
          <w:sz w:val="24"/>
          <w:szCs w:val="24"/>
          <w:highlight w:val="none"/>
          <w:lang w:eastAsia="zh-CN"/>
        </w:rPr>
        <w:t>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递交至邮箱</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向采购人（采购代理机构）提出。质疑文件须按《政府采购质疑和投诉办法》（财政部令第94号）规定的要求制作（《质疑函》范本可通过“六安市公共资源交易中心（http://ggzy.luan.gov.cn）”-“政策法规”栏目下载），质疑文件不可匿名，须以附件形式加盖质疑人</w:t>
      </w:r>
      <w:r>
        <w:rPr>
          <w:rFonts w:hint="eastAsia" w:asciiTheme="minorHAnsi" w:hAnsiTheme="minorHAnsi" w:eastAsiaTheme="minorEastAsia" w:cstheme="minorBidi"/>
          <w:sz w:val="24"/>
          <w:szCs w:val="24"/>
          <w:highlight w:val="none"/>
          <w:lang w:val="en-US" w:eastAsia="zh-CN"/>
        </w:rPr>
        <w:t>公章</w:t>
      </w:r>
      <w:r>
        <w:rPr>
          <w:rFonts w:hint="eastAsia" w:asciiTheme="minorHAnsi" w:hAnsiTheme="minorHAnsi" w:eastAsiaTheme="minorEastAsia" w:cstheme="minorBidi"/>
          <w:sz w:val="24"/>
          <w:szCs w:val="24"/>
          <w:highlight w:val="none"/>
          <w:lang w:eastAsia="zh-CN"/>
        </w:rPr>
        <w:t>签章后</w:t>
      </w:r>
      <w:r>
        <w:rPr>
          <w:rFonts w:hint="eastAsia" w:asciiTheme="minorHAnsi" w:hAnsiTheme="minorHAnsi" w:eastAsiaTheme="minorEastAsia" w:cstheme="minorBidi"/>
          <w:sz w:val="24"/>
          <w:szCs w:val="24"/>
          <w:highlight w:val="none"/>
          <w:lang w:val="en-US" w:eastAsia="zh-CN"/>
        </w:rPr>
        <w:t>扫描</w:t>
      </w:r>
      <w:r>
        <w:rPr>
          <w:rFonts w:hint="eastAsia" w:asciiTheme="minorHAnsi" w:hAnsiTheme="minorHAnsi" w:eastAsiaTheme="minorEastAsia" w:cstheme="minorBidi"/>
          <w:sz w:val="24"/>
          <w:szCs w:val="24"/>
          <w:highlight w:val="none"/>
          <w:lang w:eastAsia="zh-CN"/>
        </w:rPr>
        <w:t>提交。</w:t>
      </w:r>
    </w:p>
    <w:p w14:paraId="0E2D3507">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rPr>
          <w:rFonts w:hint="eastAsia" w:ascii="宋体" w:hAnsi="宋体"/>
          <w:sz w:val="24"/>
          <w:szCs w:val="24"/>
          <w:highlight w:val="none"/>
        </w:rPr>
      </w:pPr>
      <w:r>
        <w:rPr>
          <w:rFonts w:hint="eastAsia" w:asciiTheme="minorHAnsi" w:hAnsiTheme="minorHAnsi" w:eastAsiaTheme="minorEastAsia" w:cstheme="minorBidi"/>
          <w:sz w:val="24"/>
          <w:szCs w:val="24"/>
          <w:highlight w:val="none"/>
          <w:lang w:eastAsia="zh-CN"/>
        </w:rPr>
        <w:t>质疑答</w:t>
      </w:r>
      <w:r>
        <w:rPr>
          <w:rFonts w:hint="eastAsia" w:asciiTheme="minorHAnsi" w:hAnsiTheme="minorHAnsi" w:eastAsiaTheme="minorEastAsia" w:cstheme="minorBidi"/>
          <w:sz w:val="24"/>
          <w:szCs w:val="24"/>
          <w:highlight w:val="none"/>
          <w:lang w:val="en-US" w:eastAsia="zh-CN"/>
        </w:rPr>
        <w:t>复</w:t>
      </w:r>
      <w:r>
        <w:rPr>
          <w:rFonts w:hint="eastAsia" w:asciiTheme="minorHAnsi" w:hAnsiTheme="minorHAnsi" w:eastAsiaTheme="minorEastAsia" w:cstheme="minorBidi"/>
          <w:sz w:val="24"/>
          <w:szCs w:val="24"/>
          <w:highlight w:val="none"/>
          <w:lang w:eastAsia="zh-CN"/>
        </w:rPr>
        <w:t>获取具体步骤：采购人（采购代理机构）将通过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于收到质疑文件后七个工作日内答复，请质疑人及时</w:t>
      </w:r>
      <w:r>
        <w:rPr>
          <w:rFonts w:hint="eastAsia" w:asciiTheme="minorHAnsi" w:hAnsiTheme="minorHAnsi" w:eastAsiaTheme="minorEastAsia" w:cstheme="minorBidi"/>
          <w:sz w:val="24"/>
          <w:szCs w:val="24"/>
          <w:highlight w:val="none"/>
          <w:lang w:val="en-US" w:eastAsia="zh-CN"/>
        </w:rPr>
        <w:t>通过发出质疑的邮箱</w:t>
      </w:r>
      <w:r>
        <w:rPr>
          <w:rFonts w:hint="eastAsia" w:asciiTheme="minorHAnsi" w:hAnsiTheme="minorHAnsi" w:eastAsiaTheme="minorEastAsia" w:cstheme="minorBidi"/>
          <w:sz w:val="24"/>
          <w:szCs w:val="24"/>
          <w:highlight w:val="none"/>
          <w:lang w:eastAsia="zh-CN"/>
        </w:rPr>
        <w:t>查收答疑文件。</w:t>
      </w:r>
    </w:p>
    <w:p w14:paraId="4AED84C6">
      <w:pPr>
        <w:spacing w:line="430" w:lineRule="exact"/>
        <w:ind w:firstLine="480" w:firstLineChars="200"/>
        <w:rPr>
          <w:rFonts w:ascii="宋体" w:hAnsi="宋体"/>
          <w:sz w:val="24"/>
          <w:szCs w:val="24"/>
          <w:highlight w:val="none"/>
        </w:rPr>
      </w:pPr>
      <w:r>
        <w:rPr>
          <w:rFonts w:hint="eastAsia" w:ascii="宋体" w:hAnsi="宋体"/>
          <w:sz w:val="24"/>
          <w:szCs w:val="24"/>
          <w:highlight w:val="none"/>
        </w:rPr>
        <w:t>6、采购人设有最高限价的，供应商的响应报价不得超过最高限价。</w:t>
      </w:r>
    </w:p>
    <w:p w14:paraId="27CC386C">
      <w:pPr>
        <w:spacing w:line="430" w:lineRule="exact"/>
        <w:ind w:firstLine="480" w:firstLineChars="200"/>
        <w:rPr>
          <w:rFonts w:ascii="宋体" w:hAnsi="宋体" w:cs="宋体"/>
          <w:sz w:val="24"/>
          <w:szCs w:val="24"/>
          <w:highlight w:val="none"/>
        </w:rPr>
      </w:pPr>
      <w:r>
        <w:rPr>
          <w:rFonts w:ascii="宋体" w:hAnsi="宋体"/>
          <w:sz w:val="24"/>
          <w:szCs w:val="24"/>
          <w:highlight w:val="none"/>
        </w:rPr>
        <w:t>7</w:t>
      </w:r>
      <w:r>
        <w:rPr>
          <w:rFonts w:hint="eastAsia" w:ascii="宋体" w:hAnsi="宋体"/>
          <w:sz w:val="24"/>
          <w:szCs w:val="24"/>
          <w:highlight w:val="none"/>
        </w:rPr>
        <w:t>、供应商应确保其所提供的响应资料的真实性、有效性及合法性，否则，由此引起的任何责任由其自行承担。</w:t>
      </w:r>
    </w:p>
    <w:p w14:paraId="34F5BCAD">
      <w:pPr>
        <w:spacing w:before="0" w:after="0" w:line="430" w:lineRule="exact"/>
        <w:jc w:val="center"/>
        <w:rPr>
          <w:rFonts w:ascii="宋体" w:hAnsi="宋体" w:eastAsia="宋体" w:cs="宋体"/>
          <w:sz w:val="24"/>
          <w:szCs w:val="24"/>
          <w:highlight w:val="none"/>
        </w:rPr>
      </w:pPr>
      <w:bookmarkStart w:id="31" w:name="_Toc8394"/>
      <w:r>
        <w:rPr>
          <w:rFonts w:hint="eastAsia" w:ascii="宋体" w:hAnsi="宋体" w:eastAsia="宋体" w:cs="宋体"/>
          <w:sz w:val="24"/>
          <w:szCs w:val="24"/>
          <w:highlight w:val="none"/>
        </w:rPr>
        <w:t>（八）合同的签订</w:t>
      </w:r>
      <w:bookmarkEnd w:id="31"/>
    </w:p>
    <w:p w14:paraId="3366AF81">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1、采购人应尽量缩短采购合同签订时间，不得晚于中标（成交）通知书发放之日起 7 个工作日。无正当理由不得拒绝或者拖延签订合同，因供应商自身原因导致无法及时签订的除外。采购文件、成交供应商的响应文件及澄清文件等，均作为合同的附件。</w:t>
      </w:r>
    </w:p>
    <w:p w14:paraId="08D636C5">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2、</w:t>
      </w:r>
      <w:r>
        <w:rPr>
          <w:rFonts w:ascii="宋体" w:hAnsi="宋体" w:eastAsia="宋体" w:cs="Arial"/>
          <w:kern w:val="2"/>
          <w:sz w:val="24"/>
          <w:szCs w:val="24"/>
          <w:highlight w:val="none"/>
          <w:lang w:val="en-US" w:eastAsia="zh-CN" w:bidi="ar-SA"/>
        </w:rPr>
        <w:t>成交供应商因不可抗力或者自身原因不能在规定的时间内与采购人签订采购合同，采购人可以与排在成交供应商后第一位的候选供应商签订采购合同，以此类推</w:t>
      </w:r>
      <w:r>
        <w:rPr>
          <w:rFonts w:hint="eastAsia" w:ascii="宋体" w:hAnsi="宋体" w:eastAsia="宋体" w:cs="Arial"/>
          <w:kern w:val="2"/>
          <w:sz w:val="24"/>
          <w:szCs w:val="24"/>
          <w:highlight w:val="none"/>
          <w:lang w:val="en-US" w:eastAsia="zh-CN" w:bidi="ar-SA"/>
        </w:rPr>
        <w:t>或重新组织采购。</w:t>
      </w:r>
    </w:p>
    <w:p w14:paraId="726E1726">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3、因政策变化等原因不能签订合同，造成企业合法利益受损的情形，采购人可以与供应商充分协商，给予合理补偿。</w:t>
      </w:r>
    </w:p>
    <w:p w14:paraId="64BC366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4、在签订合同时，供应商书面明确表示无需预付款或者主动要求降低预付款比例的，采购人可不适用前述（即付款方式）规定。</w:t>
      </w:r>
    </w:p>
    <w:p w14:paraId="032F9D5D">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5、采购文件和合同中没有约定预付款的，经供应商申请，采购人可以支付预付款。</w:t>
      </w:r>
    </w:p>
    <w:p w14:paraId="5AA5BE3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6、采购人可根据项目特点、供应商诚信等因素，要求供应商提交银行、保险公司、担保公司等金融机构出具的预付款保函或其他担保措施。</w:t>
      </w:r>
    </w:p>
    <w:p w14:paraId="2B86F0D0">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7、政府采购预付款应在合同、担保措施生效以及具备实施条件后 5 个工作日内支付。</w:t>
      </w:r>
    </w:p>
    <w:p w14:paraId="48CFB42E">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8、延迟支付中小企业款项的，供应商可要求采购人按照合同约定支付逾期利息，合同没有约定的，按照同期人民银行 LPR支付逾期利息。</w:t>
      </w:r>
    </w:p>
    <w:p w14:paraId="57371097">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9、成交供应商无正当理由不与采购人订立合同的处罚依据：</w:t>
      </w:r>
    </w:p>
    <w:p w14:paraId="318E8CD1">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（1）《中华人民共和国政府采购法实施条例》</w:t>
      </w:r>
    </w:p>
    <w:p w14:paraId="221B4EC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第七十二条 供应商有下列情形之一的，依照政府采购法第七十七条第一款的规定追究法律责任：……</w:t>
      </w:r>
    </w:p>
    <w:p w14:paraId="0A2A6865">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（二）中标或者成交后无正当理由拒不与采购人签订政府采购合同；……</w:t>
      </w:r>
    </w:p>
    <w:p w14:paraId="5BA9B100">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（2）《中华人民共和国政府采购法》</w:t>
      </w:r>
    </w:p>
    <w:p w14:paraId="4403A244">
      <w:pPr>
        <w:pageBreakBefore w:val="0"/>
        <w:kinsoku/>
        <w:wordWrap/>
        <w:overflowPunct/>
        <w:topLinePunct w:val="0"/>
        <w:autoSpaceDE/>
        <w:autoSpaceDN/>
        <w:bidi w:val="0"/>
        <w:snapToGrid/>
        <w:spacing w:line="490" w:lineRule="exact"/>
        <w:ind w:firstLine="480" w:firstLineChars="200"/>
        <w:jc w:val="left"/>
        <w:rPr>
          <w:rFonts w:hint="eastAsia"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第七十七条 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w:t>
      </w:r>
    </w:p>
    <w:p w14:paraId="532BA0A8">
      <w:pPr>
        <w:pageBreakBefore w:val="0"/>
        <w:kinsoku/>
        <w:wordWrap/>
        <w:overflowPunct/>
        <w:topLinePunct w:val="0"/>
        <w:autoSpaceDE/>
        <w:autoSpaceDN/>
        <w:bidi w:val="0"/>
        <w:snapToGrid/>
        <w:spacing w:line="490" w:lineRule="exact"/>
        <w:ind w:firstLine="480" w:firstLineChars="200"/>
        <w:jc w:val="left"/>
        <w:rPr>
          <w:rFonts w:hint="eastAsia"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（3）《政府采购非招标采购方式管理办法》（财政部令第74号）</w:t>
      </w:r>
    </w:p>
    <w:p w14:paraId="203A4C3A">
      <w:pPr>
        <w:pStyle w:val="7"/>
        <w:pageBreakBefore w:val="0"/>
        <w:kinsoku/>
        <w:wordWrap/>
        <w:overflowPunct/>
        <w:topLinePunct w:val="0"/>
        <w:autoSpaceDE/>
        <w:autoSpaceDN/>
        <w:bidi w:val="0"/>
        <w:snapToGrid/>
        <w:spacing w:after="0" w:line="490" w:lineRule="exact"/>
        <w:ind w:firstLine="480" w:firstLineChars="200"/>
        <w:rPr>
          <w:highlight w:val="none"/>
        </w:rPr>
      </w:pPr>
      <w:r>
        <w:rPr>
          <w:rFonts w:hint="eastAsia"/>
          <w:highlight w:val="none"/>
        </w:rPr>
        <w:t>第五十四条 成交供应商有下列情形之一的，责令限期整改，情节严重的，列入不良行为记录名单，在1至3年内禁止参加政府采购活动，并予以通报：……</w:t>
      </w:r>
    </w:p>
    <w:p w14:paraId="1484A9A6">
      <w:pPr>
        <w:pStyle w:val="7"/>
        <w:pageBreakBefore w:val="0"/>
        <w:kinsoku/>
        <w:wordWrap/>
        <w:overflowPunct/>
        <w:topLinePunct w:val="0"/>
        <w:autoSpaceDE/>
        <w:autoSpaceDN/>
        <w:bidi w:val="0"/>
        <w:snapToGrid/>
        <w:spacing w:after="0" w:line="490" w:lineRule="exact"/>
        <w:ind w:firstLine="480" w:firstLineChars="200"/>
        <w:rPr>
          <w:rFonts w:ascii="宋体" w:hAnsi="宋体" w:cs="宋体"/>
          <w:szCs w:val="24"/>
          <w:highlight w:val="none"/>
        </w:rPr>
      </w:pPr>
      <w:r>
        <w:rPr>
          <w:rFonts w:hint="eastAsia"/>
          <w:highlight w:val="none"/>
        </w:rPr>
        <w:t>（二）成交后无正当理由不与采购人签订合同的；……</w:t>
      </w:r>
    </w:p>
    <w:p w14:paraId="7721C812">
      <w:pPr>
        <w:spacing w:line="430" w:lineRule="exact"/>
        <w:ind w:firstLine="480" w:firstLineChars="200"/>
        <w:rPr>
          <w:rFonts w:ascii="宋体" w:hAnsi="宋体"/>
          <w:sz w:val="24"/>
          <w:szCs w:val="24"/>
          <w:highlight w:val="none"/>
        </w:rPr>
      </w:pPr>
    </w:p>
    <w:p w14:paraId="28C85F23">
      <w:pPr>
        <w:spacing w:before="0" w:after="0" w:line="430" w:lineRule="exact"/>
        <w:jc w:val="center"/>
        <w:rPr>
          <w:rFonts w:ascii="宋体" w:hAnsi="宋体" w:eastAsia="宋体" w:cs="宋体"/>
          <w:sz w:val="24"/>
          <w:szCs w:val="24"/>
          <w:highlight w:val="none"/>
        </w:rPr>
      </w:pPr>
      <w:bookmarkStart w:id="32" w:name="_Toc30371"/>
      <w:r>
        <w:rPr>
          <w:rFonts w:hint="eastAsia" w:ascii="宋体" w:hAnsi="宋体" w:eastAsia="宋体" w:cs="宋体"/>
          <w:sz w:val="24"/>
          <w:szCs w:val="24"/>
          <w:highlight w:val="none"/>
        </w:rPr>
        <w:t>（九）澄清及变更</w:t>
      </w:r>
      <w:bookmarkEnd w:id="32"/>
    </w:p>
    <w:p w14:paraId="689957BC">
      <w:pPr>
        <w:spacing w:line="430" w:lineRule="exact"/>
        <w:ind w:firstLine="480" w:firstLineChars="200"/>
        <w:rPr>
          <w:highlight w:val="none"/>
        </w:rPr>
      </w:pPr>
      <w:r>
        <w:rPr>
          <w:rFonts w:hint="eastAsia" w:ascii="宋体" w:hAnsi="宋体"/>
          <w:sz w:val="24"/>
          <w:szCs w:val="24"/>
          <w:highlight w:val="none"/>
        </w:rPr>
        <w:t>谈判文件如有澄清及变更，将以网上公告形式发布，请供应商及时关注。</w:t>
      </w:r>
    </w:p>
    <w:p w14:paraId="7FB46395">
      <w:pPr>
        <w:spacing w:before="0" w:after="0" w:line="430" w:lineRule="exact"/>
        <w:jc w:val="center"/>
        <w:rPr>
          <w:rFonts w:ascii="宋体" w:hAnsi="宋体"/>
          <w:sz w:val="24"/>
          <w:szCs w:val="24"/>
          <w:highlight w:val="none"/>
        </w:rPr>
      </w:pPr>
      <w:bookmarkStart w:id="33" w:name="_Toc14936"/>
      <w:r>
        <w:rPr>
          <w:rFonts w:hint="eastAsia" w:ascii="宋体" w:hAnsi="宋体" w:eastAsia="宋体" w:cs="宋体"/>
          <w:sz w:val="24"/>
          <w:szCs w:val="24"/>
          <w:highlight w:val="none"/>
        </w:rPr>
        <w:t>（十）验收</w:t>
      </w:r>
      <w:bookmarkEnd w:id="33"/>
      <w:r>
        <w:rPr>
          <w:rFonts w:hint="eastAsia" w:ascii="宋体" w:hAnsi="宋体" w:eastAsia="宋体" w:cs="宋体"/>
          <w:sz w:val="24"/>
          <w:szCs w:val="24"/>
          <w:highlight w:val="none"/>
        </w:rPr>
        <w:t>与支付</w:t>
      </w:r>
      <w:bookmarkStart w:id="34" w:name="_Toc24748"/>
    </w:p>
    <w:p w14:paraId="7EDDBA17">
      <w:pP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1</w:t>
      </w:r>
      <w:r>
        <w:rPr>
          <w:rFonts w:hint="eastAsia" w:ascii="宋体" w:hAnsi="宋体"/>
          <w:sz w:val="24"/>
          <w:szCs w:val="24"/>
          <w:highlight w:val="none"/>
        </w:rPr>
        <w:t>、采购人验收时，应成立三人以上（由合同双方、资产管理人、技术人员、纪检等相关人员组成）验收小组，明确责任，严格依照采购文件、成交通知书、政府采购合同及相关验收规范进行核对、验收，形成验收结论，并出具书面验收报告。</w:t>
      </w:r>
    </w:p>
    <w:p w14:paraId="7F89827A">
      <w:pP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2</w:t>
      </w:r>
      <w:r>
        <w:rPr>
          <w:rFonts w:hint="eastAsia" w:ascii="宋体" w:hAnsi="宋体"/>
          <w:sz w:val="24"/>
          <w:szCs w:val="24"/>
          <w:highlight w:val="none"/>
        </w:rPr>
        <w:t>、涉及安全、消防、环保等其他需要由质检或行业主管部门进行验收的项目，必须邀请相关部门或相关专家参与验收。</w:t>
      </w:r>
    </w:p>
    <w:p w14:paraId="279F0365">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（十一）质疑</w:t>
      </w:r>
      <w:bookmarkEnd w:id="34"/>
    </w:p>
    <w:p w14:paraId="239622BC">
      <w:pPr>
        <w:spacing w:line="430" w:lineRule="exact"/>
        <w:ind w:firstLine="480" w:firstLineChars="200"/>
        <w:rPr>
          <w:rFonts w:ascii="宋体" w:hAnsi="宋体"/>
          <w:bCs/>
          <w:sz w:val="24"/>
          <w:highlight w:val="none"/>
        </w:rPr>
      </w:pPr>
      <w:bookmarkStart w:id="35" w:name="_Toc216158630"/>
      <w:r>
        <w:rPr>
          <w:rFonts w:hint="eastAsia" w:ascii="宋体" w:hAnsi="宋体"/>
          <w:bCs/>
          <w:sz w:val="24"/>
          <w:highlight w:val="none"/>
        </w:rPr>
        <w:t>1、质疑人认为成交结果使自己的权益受到损害的，可以向采购人及采购代理机构提出质疑。质疑实行实名制，应当有具体的事项及根据，不得进行虚假、恶意质疑，扰乱公共资源交易活动的正常工作秩序。</w:t>
      </w:r>
    </w:p>
    <w:p w14:paraId="23FE5B12">
      <w:pPr>
        <w:spacing w:line="430" w:lineRule="exact"/>
        <w:ind w:firstLine="480" w:firstLineChars="200"/>
        <w:rPr>
          <w:rFonts w:hint="eastAsia" w:ascii="宋体" w:hAnsi="宋体"/>
          <w:bCs/>
          <w:sz w:val="24"/>
          <w:highlight w:val="none"/>
        </w:rPr>
      </w:pPr>
      <w:r>
        <w:rPr>
          <w:rFonts w:hint="eastAsia" w:ascii="宋体" w:hAnsi="宋体"/>
          <w:bCs/>
          <w:sz w:val="24"/>
          <w:highlight w:val="none"/>
        </w:rPr>
        <w:t xml:space="preserve">2、质疑应在规定时限内提出： </w:t>
      </w:r>
    </w:p>
    <w:p w14:paraId="2740E3EF">
      <w:pPr>
        <w:spacing w:line="430" w:lineRule="exact"/>
        <w:ind w:firstLine="480" w:firstLineChars="200"/>
        <w:rPr>
          <w:rFonts w:hint="eastAsia" w:ascii="宋体" w:hAnsi="宋体"/>
          <w:bCs/>
          <w:sz w:val="24"/>
          <w:highlight w:val="none"/>
        </w:rPr>
      </w:pPr>
      <w:r>
        <w:rPr>
          <w:rFonts w:hint="eastAsia" w:ascii="宋体" w:hAnsi="宋体"/>
          <w:bCs/>
          <w:sz w:val="24"/>
          <w:highlight w:val="none"/>
        </w:rPr>
        <w:t>对政府采购成交结果的质疑，应在成交结果公布之日起七个工作日内提出。</w:t>
      </w:r>
    </w:p>
    <w:p w14:paraId="7B1BE7BD">
      <w:pPr>
        <w:spacing w:line="430" w:lineRule="exact"/>
        <w:ind w:firstLine="480" w:firstLineChars="200"/>
        <w:rPr>
          <w:rFonts w:hint="eastAsia" w:ascii="宋体" w:hAnsi="宋体"/>
          <w:bCs/>
          <w:sz w:val="24"/>
          <w:highlight w:val="none"/>
        </w:rPr>
      </w:pPr>
      <w:r>
        <w:rPr>
          <w:rFonts w:hint="eastAsia" w:ascii="宋体" w:hAnsi="宋体"/>
          <w:bCs/>
          <w:sz w:val="24"/>
          <w:highlight w:val="none"/>
        </w:rPr>
        <w:t>3、质疑应以书面形式实名提出，书面质疑材料应当包括以下内容：</w:t>
      </w:r>
    </w:p>
    <w:p w14:paraId="4746BB4A">
      <w:pPr>
        <w:spacing w:line="430" w:lineRule="exact"/>
        <w:ind w:firstLine="480" w:firstLineChars="200"/>
        <w:rPr>
          <w:rFonts w:hint="eastAsia" w:ascii="宋体" w:hAnsi="宋体"/>
          <w:bCs/>
          <w:sz w:val="24"/>
          <w:highlight w:val="none"/>
        </w:rPr>
      </w:pPr>
      <w:r>
        <w:rPr>
          <w:rFonts w:hint="eastAsia" w:ascii="宋体" w:hAnsi="宋体"/>
          <w:bCs/>
          <w:sz w:val="24"/>
          <w:highlight w:val="none"/>
        </w:rPr>
        <w:t>3.1质疑人的名称、地址、有效联系方式；</w:t>
      </w:r>
    </w:p>
    <w:p w14:paraId="1C7DFB50">
      <w:pPr>
        <w:spacing w:line="430" w:lineRule="exact"/>
        <w:ind w:firstLine="480" w:firstLineChars="200"/>
        <w:rPr>
          <w:rFonts w:hint="eastAsia" w:ascii="宋体" w:hAnsi="宋体"/>
          <w:bCs/>
          <w:sz w:val="24"/>
          <w:highlight w:val="none"/>
        </w:rPr>
      </w:pPr>
      <w:r>
        <w:rPr>
          <w:rFonts w:hint="eastAsia" w:ascii="宋体" w:hAnsi="宋体"/>
          <w:bCs/>
          <w:sz w:val="24"/>
          <w:highlight w:val="none"/>
        </w:rPr>
        <w:t>3.2项目名称、项目编号、包别号（如有）；</w:t>
      </w:r>
    </w:p>
    <w:p w14:paraId="121C7F56">
      <w:pPr>
        <w:spacing w:line="430" w:lineRule="exact"/>
        <w:ind w:firstLine="480" w:firstLineChars="200"/>
        <w:rPr>
          <w:rFonts w:hint="eastAsia" w:ascii="宋体" w:hAnsi="宋体"/>
          <w:bCs/>
          <w:sz w:val="24"/>
          <w:highlight w:val="none"/>
        </w:rPr>
      </w:pPr>
      <w:r>
        <w:rPr>
          <w:rFonts w:hint="eastAsia" w:ascii="宋体" w:hAnsi="宋体"/>
          <w:bCs/>
          <w:sz w:val="24"/>
          <w:highlight w:val="none"/>
        </w:rPr>
        <w:t>3.3被质疑人名称；</w:t>
      </w:r>
    </w:p>
    <w:p w14:paraId="438251F5">
      <w:pPr>
        <w:spacing w:line="430" w:lineRule="exact"/>
        <w:ind w:firstLine="480" w:firstLineChars="200"/>
        <w:rPr>
          <w:rFonts w:hint="eastAsia" w:ascii="宋体" w:hAnsi="宋体"/>
          <w:bCs/>
          <w:sz w:val="24"/>
          <w:highlight w:val="none"/>
        </w:rPr>
      </w:pPr>
      <w:r>
        <w:rPr>
          <w:rFonts w:hint="eastAsia" w:ascii="宋体" w:hAnsi="宋体"/>
          <w:bCs/>
          <w:sz w:val="24"/>
          <w:highlight w:val="none"/>
        </w:rPr>
        <w:t>3.4具体的质疑事项、基本事实及必要的证明材料；</w:t>
      </w:r>
    </w:p>
    <w:p w14:paraId="353CC7CD">
      <w:pPr>
        <w:spacing w:line="430" w:lineRule="exact"/>
        <w:ind w:firstLine="480" w:firstLineChars="200"/>
        <w:rPr>
          <w:rFonts w:hint="eastAsia" w:ascii="宋体" w:hAnsi="宋体"/>
          <w:bCs/>
          <w:sz w:val="24"/>
          <w:highlight w:val="none"/>
        </w:rPr>
      </w:pPr>
      <w:r>
        <w:rPr>
          <w:rFonts w:hint="eastAsia" w:ascii="宋体" w:hAnsi="宋体"/>
          <w:bCs/>
          <w:sz w:val="24"/>
          <w:highlight w:val="none"/>
        </w:rPr>
        <w:t>3.5明确的请求及主张；</w:t>
      </w:r>
    </w:p>
    <w:p w14:paraId="0947ED9D">
      <w:pPr>
        <w:spacing w:line="430" w:lineRule="exact"/>
        <w:ind w:firstLine="480" w:firstLineChars="200"/>
        <w:rPr>
          <w:rFonts w:hint="eastAsia" w:ascii="宋体" w:hAnsi="宋体"/>
          <w:bCs/>
          <w:sz w:val="24"/>
          <w:highlight w:val="none"/>
        </w:rPr>
      </w:pPr>
      <w:r>
        <w:rPr>
          <w:rFonts w:hint="eastAsia" w:ascii="宋体" w:hAnsi="宋体"/>
          <w:bCs/>
          <w:sz w:val="24"/>
          <w:highlight w:val="none"/>
        </w:rPr>
        <w:t>3.6提起质疑的日期。</w:t>
      </w:r>
    </w:p>
    <w:p w14:paraId="07436F42">
      <w:pPr>
        <w:spacing w:line="430" w:lineRule="exact"/>
        <w:ind w:firstLine="480" w:firstLineChars="200"/>
        <w:rPr>
          <w:rFonts w:ascii="宋体" w:hAnsi="宋体" w:cs="宋体"/>
          <w:sz w:val="24"/>
          <w:szCs w:val="24"/>
          <w:highlight w:val="none"/>
        </w:rPr>
      </w:pPr>
      <w:r>
        <w:rPr>
          <w:rFonts w:hint="eastAsia" w:ascii="宋体" w:hAnsi="宋体"/>
          <w:bCs/>
          <w:sz w:val="24"/>
          <w:highlight w:val="none"/>
        </w:rPr>
        <w:t>质疑人为法人或者其</w:t>
      </w:r>
      <w:r>
        <w:rPr>
          <w:rFonts w:hint="eastAsia" w:ascii="宋体" w:hAnsi="宋体" w:cs="宋体"/>
          <w:sz w:val="24"/>
          <w:szCs w:val="24"/>
          <w:highlight w:val="none"/>
        </w:rPr>
        <w:t>他组织的，应当由法定代表人或其委托代理人（需有委托授权书）签字并加盖公章。</w:t>
      </w:r>
    </w:p>
    <w:p w14:paraId="0152FDEA">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质疑人需要修改、补充质疑材料的，应当在质疑期内提交修改或补充材料。</w:t>
      </w:r>
    </w:p>
    <w:p w14:paraId="5BEC6EA2">
      <w:pPr>
        <w:spacing w:line="430" w:lineRule="exact"/>
        <w:ind w:firstLine="480" w:firstLineChars="200"/>
        <w:rPr>
          <w:rFonts w:ascii="宋体" w:hAnsi="宋体"/>
          <w:bCs/>
          <w:sz w:val="24"/>
          <w:szCs w:val="24"/>
          <w:highlight w:val="none"/>
        </w:rPr>
      </w:pPr>
      <w:r>
        <w:rPr>
          <w:rFonts w:hint="eastAsia" w:ascii="宋体" w:hAnsi="宋体"/>
          <w:bCs/>
          <w:sz w:val="24"/>
          <w:szCs w:val="24"/>
          <w:highlight w:val="none"/>
        </w:rPr>
        <w:t>4、有下列情形之一的，不予受理：</w:t>
      </w:r>
    </w:p>
    <w:p w14:paraId="4298E685">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4.1提起质疑的主体不是参与该政府采购项目活动的供应商；</w:t>
      </w:r>
    </w:p>
    <w:p w14:paraId="4812E923">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4.2提起质疑的时间超过规定时限的；</w:t>
      </w:r>
    </w:p>
    <w:p w14:paraId="41CBEC78">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4.3质疑材料不完整的；</w:t>
      </w:r>
    </w:p>
    <w:p w14:paraId="2852D310">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4.4质疑事项含有主观猜测等内容且未提供有效线索、难以查证的；</w:t>
      </w:r>
    </w:p>
    <w:p w14:paraId="05880D8D">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4.5对其他谈判供应商的响应文件详细内容质疑，无法提供合法来源渠道的；</w:t>
      </w:r>
    </w:p>
    <w:p w14:paraId="36B1027F">
      <w:pPr>
        <w:spacing w:line="430" w:lineRule="exact"/>
        <w:ind w:firstLine="480" w:firstLineChars="200"/>
        <w:rPr>
          <w:rFonts w:ascii="仿宋_GB2312" w:hAnsi="宋体" w:eastAsia="仿宋_GB2312" w:cs="宋体"/>
          <w:sz w:val="24"/>
          <w:szCs w:val="24"/>
          <w:highlight w:val="none"/>
        </w:rPr>
      </w:pPr>
      <w:r>
        <w:rPr>
          <w:rFonts w:hint="eastAsia" w:ascii="宋体" w:hAnsi="宋体" w:cs="宋体"/>
          <w:sz w:val="24"/>
          <w:szCs w:val="24"/>
          <w:highlight w:val="none"/>
        </w:rPr>
        <w:t>4.6质疑事项已进入投诉处理、行政复议或行政诉讼程序的。</w:t>
      </w:r>
    </w:p>
    <w:p w14:paraId="4413E4FF">
      <w:pPr>
        <w:spacing w:line="430" w:lineRule="exact"/>
        <w:ind w:firstLine="480" w:firstLineChars="200"/>
        <w:rPr>
          <w:rFonts w:ascii="宋体" w:hAnsi="宋体"/>
          <w:bCs/>
          <w:sz w:val="24"/>
          <w:highlight w:val="none"/>
        </w:rPr>
      </w:pPr>
      <w:r>
        <w:rPr>
          <w:rFonts w:hint="eastAsia" w:ascii="宋体" w:hAnsi="宋体"/>
          <w:bCs/>
          <w:sz w:val="24"/>
          <w:highlight w:val="none"/>
        </w:rPr>
        <w:t>5、经审查符合质疑条件的，自收到质疑之日起即为受理。采购人及采购代理机构将在质疑受理后7个工作日内作出答复或相关处理决定，并以书面形式通知质疑人，答复的内容不得涉及商业秘密。</w:t>
      </w:r>
    </w:p>
    <w:p w14:paraId="4EF194F6">
      <w:pPr>
        <w:spacing w:line="430" w:lineRule="exact"/>
        <w:ind w:firstLine="480" w:firstLineChars="200"/>
        <w:rPr>
          <w:rFonts w:ascii="宋体" w:hAnsi="宋体"/>
          <w:bCs/>
          <w:sz w:val="24"/>
          <w:highlight w:val="none"/>
        </w:rPr>
      </w:pPr>
      <w:r>
        <w:rPr>
          <w:rFonts w:hint="eastAsia" w:ascii="宋体" w:hAnsi="宋体"/>
          <w:bCs/>
          <w:sz w:val="24"/>
          <w:highlight w:val="none"/>
        </w:rPr>
        <w:t>6、质疑人在答复期满前撤回质疑的，应由法定代表人或授权代表人签字确认，即终止质疑处理程序。质疑人不得以同一理由再次提出质疑。</w:t>
      </w:r>
    </w:p>
    <w:p w14:paraId="40CE4380">
      <w:pPr>
        <w:spacing w:line="430" w:lineRule="exact"/>
        <w:ind w:firstLine="480" w:firstLineChars="200"/>
        <w:rPr>
          <w:rFonts w:ascii="宋体" w:hAnsi="宋体"/>
          <w:bCs/>
          <w:sz w:val="24"/>
          <w:highlight w:val="none"/>
        </w:rPr>
      </w:pPr>
      <w:r>
        <w:rPr>
          <w:rFonts w:hint="eastAsia" w:ascii="宋体" w:hAnsi="宋体"/>
          <w:bCs/>
          <w:sz w:val="24"/>
          <w:highlight w:val="none"/>
        </w:rPr>
        <w:t>质疑人对质疑答复不满意或采购人及采购代理机构未在规定时间内做出答复的，可以在规定期限内向</w:t>
      </w:r>
      <w:r>
        <w:rPr>
          <w:rFonts w:hint="eastAsia" w:ascii="宋体" w:hAnsi="宋体"/>
          <w:bCs/>
          <w:sz w:val="24"/>
          <w:highlight w:val="none"/>
          <w:lang w:val="en-US" w:eastAsia="zh-CN"/>
        </w:rPr>
        <w:t>监管部门</w:t>
      </w:r>
      <w:r>
        <w:rPr>
          <w:rFonts w:hint="eastAsia" w:ascii="宋体" w:hAnsi="宋体"/>
          <w:bCs/>
          <w:sz w:val="24"/>
          <w:highlight w:val="none"/>
        </w:rPr>
        <w:t>提起投诉。</w:t>
      </w:r>
    </w:p>
    <w:p w14:paraId="3D203EE6">
      <w:pPr>
        <w:keepNext w:val="0"/>
        <w:keepLines w:val="0"/>
        <w:pageBreakBefore w:val="0"/>
        <w:kinsoku/>
        <w:wordWrap/>
        <w:overflowPunct/>
        <w:topLinePunct w:val="0"/>
        <w:autoSpaceDE/>
        <w:autoSpaceDN/>
        <w:bidi w:val="0"/>
        <w:adjustRightInd/>
        <w:snapToGrid/>
        <w:spacing w:line="490" w:lineRule="exact"/>
        <w:ind w:firstLine="480" w:firstLineChars="200"/>
        <w:textAlignment w:val="auto"/>
        <w:rPr>
          <w:rFonts w:ascii="宋体" w:hAnsi="宋体"/>
          <w:bCs/>
          <w:sz w:val="24"/>
          <w:highlight w:val="none"/>
        </w:rPr>
      </w:pPr>
      <w:r>
        <w:rPr>
          <w:rFonts w:hint="eastAsia" w:ascii="宋体" w:hAnsi="宋体" w:eastAsia="宋体" w:cs="Times New Roman"/>
          <w:bCs/>
          <w:kern w:val="2"/>
          <w:sz w:val="24"/>
          <w:szCs w:val="20"/>
          <w:highlight w:val="none"/>
          <w:lang w:val="en-US" w:eastAsia="zh-CN" w:bidi="ar-SA"/>
        </w:rPr>
        <w:t>质疑人应在答复期满后十五个工作日内提起投诉。</w:t>
      </w:r>
    </w:p>
    <w:p w14:paraId="6A17E404">
      <w:pPr>
        <w:pStyle w:val="7"/>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bookmarkStart w:id="36" w:name="_Toc5573"/>
      <w:r>
        <w:rPr>
          <w:rFonts w:hint="eastAsia" w:ascii="宋体" w:hAnsi="宋体"/>
          <w:bCs/>
          <w:sz w:val="24"/>
          <w:highlight w:val="none"/>
        </w:rPr>
        <w:t>7、</w:t>
      </w:r>
      <w:r>
        <w:rPr>
          <w:rFonts w:hint="eastAsia" w:ascii="宋体" w:hAnsi="宋体" w:eastAsia="宋体" w:cs="Times New Roman"/>
          <w:bCs/>
          <w:kern w:val="2"/>
          <w:sz w:val="24"/>
          <w:szCs w:val="24"/>
          <w:highlight w:val="none"/>
          <w:lang w:val="en-US" w:eastAsia="zh-CN" w:bidi="ar-SA"/>
        </w:rPr>
        <w:t>投诉人在全国范围12个月内三次以上投诉查无实据的，由财政部门列入不良行为记录名单。</w:t>
      </w:r>
    </w:p>
    <w:p w14:paraId="328F6000">
      <w:pPr>
        <w:pStyle w:val="7"/>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投诉人有下列行为之一的，属于虚假、恶意投诉，由财政部门列入不良行为记录名单，禁止其1至3年内参加政府采购活动：</w:t>
      </w:r>
    </w:p>
    <w:p w14:paraId="3A765589">
      <w:pPr>
        <w:pStyle w:val="7"/>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（一）捏造事实</w:t>
      </w:r>
      <w:r>
        <w:rPr>
          <w:rFonts w:hint="eastAsia" w:ascii="宋体" w:hAnsi="宋体" w:cs="Times New Roman"/>
          <w:bCs/>
          <w:kern w:val="2"/>
          <w:sz w:val="24"/>
          <w:szCs w:val="24"/>
          <w:highlight w:val="none"/>
          <w:lang w:val="en-US" w:eastAsia="zh-CN" w:bidi="ar-SA"/>
        </w:rPr>
        <w:t>；</w:t>
      </w:r>
    </w:p>
    <w:p w14:paraId="7F8104A2">
      <w:pPr>
        <w:pStyle w:val="7"/>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（二）提供虚假材料</w:t>
      </w:r>
      <w:r>
        <w:rPr>
          <w:rFonts w:hint="eastAsia" w:ascii="宋体" w:hAnsi="宋体" w:cs="Times New Roman"/>
          <w:bCs/>
          <w:kern w:val="2"/>
          <w:sz w:val="24"/>
          <w:szCs w:val="24"/>
          <w:highlight w:val="none"/>
          <w:lang w:val="en-US" w:eastAsia="zh-CN" w:bidi="ar-SA"/>
        </w:rPr>
        <w:t>；</w:t>
      </w:r>
    </w:p>
    <w:p w14:paraId="1D9080A2">
      <w:pPr>
        <w:pStyle w:val="7"/>
        <w:keepNext w:val="0"/>
        <w:keepLines w:val="0"/>
        <w:pageBreakBefore w:val="0"/>
        <w:widowControl w:val="0"/>
        <w:kinsoku/>
        <w:wordWrap/>
        <w:overflowPunct/>
        <w:topLinePunct w:val="0"/>
        <w:autoSpaceDE/>
        <w:autoSpaceDN/>
        <w:bidi w:val="0"/>
        <w:adjustRightInd/>
        <w:snapToGrid/>
        <w:spacing w:after="0" w:line="490" w:lineRule="exact"/>
        <w:textAlignment w:val="auto"/>
        <w:rPr>
          <w:highlight w:val="none"/>
        </w:rPr>
      </w:pPr>
      <w:r>
        <w:rPr>
          <w:rFonts w:hint="eastAsia" w:ascii="宋体" w:hAnsi="宋体" w:eastAsia="宋体" w:cs="Times New Roman"/>
          <w:bCs/>
          <w:kern w:val="2"/>
          <w:sz w:val="24"/>
          <w:szCs w:val="24"/>
          <w:highlight w:val="none"/>
          <w:lang w:val="en-US" w:eastAsia="zh-CN" w:bidi="ar-SA"/>
        </w:rPr>
        <w:t>（三）以非法手段取得证明材料。证据来源的合法性存在明显疑问，投诉人无法证明其取得方式合法的，视为以非法手段取得证明材料。</w:t>
      </w:r>
    </w:p>
    <w:p w14:paraId="781BC3A2">
      <w:pPr>
        <w:spacing w:before="0" w:after="0" w:line="560" w:lineRule="exact"/>
        <w:jc w:val="center"/>
        <w:rPr>
          <w:rFonts w:hint="eastAsia" w:ascii="宋体" w:hAnsi="宋体" w:eastAsia="宋体" w:cs="宋体"/>
          <w:sz w:val="28"/>
          <w:szCs w:val="28"/>
          <w:highlight w:val="none"/>
        </w:rPr>
      </w:pPr>
    </w:p>
    <w:p w14:paraId="05C825D8">
      <w:pPr>
        <w:spacing w:before="0" w:after="0" w:line="560" w:lineRule="exact"/>
        <w:jc w:val="center"/>
        <w:rPr>
          <w:rFonts w:hint="eastAsia" w:ascii="宋体" w:hAnsi="宋体" w:eastAsia="宋体" w:cs="宋体"/>
          <w:sz w:val="28"/>
          <w:szCs w:val="28"/>
          <w:highlight w:val="none"/>
        </w:rPr>
      </w:pPr>
    </w:p>
    <w:p w14:paraId="56DB89E5">
      <w:pPr>
        <w:spacing w:before="0" w:after="0" w:line="560" w:lineRule="exact"/>
        <w:jc w:val="center"/>
        <w:rPr>
          <w:rFonts w:hint="eastAsia" w:ascii="宋体" w:hAnsi="宋体" w:eastAsia="宋体" w:cs="宋体"/>
          <w:sz w:val="28"/>
          <w:szCs w:val="28"/>
          <w:highlight w:val="none"/>
        </w:rPr>
      </w:pPr>
    </w:p>
    <w:p w14:paraId="2D55B75F">
      <w:pPr>
        <w:spacing w:before="0" w:after="0" w:line="560" w:lineRule="exact"/>
        <w:jc w:val="center"/>
        <w:rPr>
          <w:rFonts w:hint="eastAsia" w:ascii="宋体" w:hAnsi="宋体" w:eastAsia="宋体" w:cs="宋体"/>
          <w:sz w:val="28"/>
          <w:szCs w:val="28"/>
          <w:highlight w:val="none"/>
        </w:rPr>
      </w:pPr>
    </w:p>
    <w:p w14:paraId="2455A667">
      <w:pPr>
        <w:spacing w:before="0" w:after="0" w:line="560" w:lineRule="exact"/>
        <w:jc w:val="center"/>
        <w:rPr>
          <w:rFonts w:hint="eastAsia" w:ascii="宋体" w:hAnsi="宋体" w:eastAsia="宋体" w:cs="宋体"/>
          <w:sz w:val="28"/>
          <w:szCs w:val="28"/>
          <w:highlight w:val="none"/>
        </w:rPr>
      </w:pPr>
    </w:p>
    <w:p w14:paraId="20AA42A0">
      <w:pPr>
        <w:spacing w:before="0" w:after="0" w:line="560" w:lineRule="exact"/>
        <w:jc w:val="center"/>
        <w:rPr>
          <w:rFonts w:ascii="宋体" w:hAnsi="宋体" w:eastAsia="宋体" w:cs="宋体"/>
          <w:b/>
          <w:bCs/>
          <w:sz w:val="28"/>
          <w:szCs w:val="28"/>
          <w:highlight w:val="none"/>
        </w:rPr>
      </w:pPr>
      <w:r>
        <w:rPr>
          <w:rFonts w:hint="eastAsia" w:ascii="宋体" w:hAnsi="宋体" w:eastAsia="宋体" w:cs="宋体"/>
          <w:b/>
          <w:bCs/>
          <w:sz w:val="28"/>
          <w:szCs w:val="28"/>
          <w:highlight w:val="none"/>
        </w:rPr>
        <w:t>二、采购合同</w:t>
      </w:r>
      <w:bookmarkEnd w:id="36"/>
    </w:p>
    <w:bookmarkEnd w:id="35"/>
    <w:p w14:paraId="6B5FE3BD">
      <w:pPr>
        <w:jc w:val="center"/>
        <w:rPr>
          <w:rFonts w:hint="eastAsia" w:ascii="宋体" w:hAnsi="宋体" w:eastAsia="宋体" w:cs="Times New Roman"/>
          <w:bCs/>
          <w:kern w:val="2"/>
          <w:sz w:val="24"/>
          <w:highlight w:val="none"/>
          <w:lang w:val="en-US" w:eastAsia="zh-CN" w:bidi="ar-SA"/>
        </w:rPr>
      </w:pPr>
      <w:bookmarkStart w:id="37" w:name="_Toc18672"/>
      <w:bookmarkStart w:id="38" w:name="_Toc363199273"/>
      <w:r>
        <w:rPr>
          <w:rFonts w:hint="eastAsia" w:ascii="宋体" w:hAnsi="宋体" w:eastAsia="宋体" w:cs="Times New Roman"/>
          <w:bCs/>
          <w:kern w:val="2"/>
          <w:sz w:val="24"/>
          <w:highlight w:val="none"/>
          <w:lang w:val="en-US" w:eastAsia="zh-CN" w:bidi="ar-SA"/>
        </w:rPr>
        <w:t>（双方自行拟定，但不得违背谈判文件实质性内容）</w:t>
      </w:r>
    </w:p>
    <w:p w14:paraId="2859CD52">
      <w:pPr>
        <w:rPr>
          <w:rFonts w:hint="eastAsia" w:ascii="宋体" w:hAnsi="宋体" w:eastAsia="宋体" w:cs="宋体"/>
          <w:b/>
          <w:kern w:val="0"/>
          <w:sz w:val="28"/>
          <w:szCs w:val="28"/>
          <w:highlight w:val="none"/>
          <w:lang w:val="en-US" w:eastAsia="zh-CN" w:bidi="ar-SA"/>
        </w:rPr>
      </w:pPr>
      <w:r>
        <w:rPr>
          <w:rFonts w:hint="eastAsia" w:ascii="宋体" w:hAnsi="宋体" w:eastAsia="宋体" w:cs="宋体"/>
          <w:b/>
          <w:kern w:val="0"/>
          <w:sz w:val="28"/>
          <w:szCs w:val="28"/>
          <w:highlight w:val="none"/>
          <w:lang w:val="en-US" w:eastAsia="zh-CN" w:bidi="ar-SA"/>
        </w:rPr>
        <w:br w:type="page"/>
      </w:r>
    </w:p>
    <w:p w14:paraId="22E69CE2">
      <w:pPr>
        <w:numPr>
          <w:ilvl w:val="0"/>
          <w:numId w:val="0"/>
        </w:numPr>
        <w:jc w:val="center"/>
        <w:rPr>
          <w:rFonts w:hint="eastAsia" w:ascii="宋体" w:hAnsi="宋体" w:eastAsia="宋体" w:cs="宋体"/>
          <w:b/>
          <w:kern w:val="0"/>
          <w:sz w:val="28"/>
          <w:szCs w:val="28"/>
          <w:highlight w:val="none"/>
          <w:lang w:val="en-US" w:eastAsia="zh-CN" w:bidi="ar-SA"/>
        </w:rPr>
      </w:pPr>
      <w:r>
        <w:rPr>
          <w:rFonts w:hint="eastAsia" w:ascii="宋体" w:hAnsi="宋体" w:eastAsia="宋体" w:cs="宋体"/>
          <w:b/>
          <w:kern w:val="0"/>
          <w:sz w:val="28"/>
          <w:szCs w:val="28"/>
          <w:highlight w:val="none"/>
          <w:lang w:val="en-US" w:eastAsia="zh-CN" w:bidi="ar-SA"/>
        </w:rPr>
        <w:t>三、采购需求</w:t>
      </w:r>
    </w:p>
    <w:p w14:paraId="0DCC7250">
      <w:pPr>
        <w:numPr>
          <w:ilvl w:val="0"/>
          <w:numId w:val="0"/>
        </w:numPr>
        <w:spacing w:line="360" w:lineRule="auto"/>
        <w:jc w:val="both"/>
        <w:rPr>
          <w:rFonts w:hint="default"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一、项目概况</w:t>
      </w:r>
    </w:p>
    <w:bookmarkEnd w:id="37"/>
    <w:p w14:paraId="72476696">
      <w:pPr>
        <w:numPr>
          <w:ilvl w:val="0"/>
          <w:numId w:val="0"/>
        </w:numPr>
        <w:spacing w:line="360" w:lineRule="auto"/>
        <w:ind w:firstLine="480" w:firstLineChars="200"/>
        <w:jc w:val="both"/>
        <w:rPr>
          <w:rFonts w:hint="eastAsia" w:ascii="宋体" w:hAnsi="宋体" w:eastAsia="宋体" w:cs="宋体"/>
          <w:b w:val="0"/>
          <w:bCs/>
          <w:kern w:val="0"/>
          <w:sz w:val="24"/>
          <w:szCs w:val="24"/>
          <w:highlight w:val="none"/>
          <w:lang w:val="en-US" w:eastAsia="zh-CN" w:bidi="ar-SA"/>
        </w:rPr>
      </w:pPr>
      <w:bookmarkStart w:id="39" w:name="_Toc12600"/>
      <w:r>
        <w:rPr>
          <w:rFonts w:hint="eastAsia" w:ascii="宋体" w:hAnsi="宋体" w:eastAsia="宋体" w:cs="宋体"/>
          <w:b w:val="0"/>
          <w:bCs/>
          <w:kern w:val="0"/>
          <w:sz w:val="24"/>
          <w:szCs w:val="24"/>
          <w:highlight w:val="none"/>
          <w:lang w:val="en-US" w:eastAsia="zh-CN" w:bidi="ar-SA"/>
        </w:rPr>
        <w:t>霍山县社会福利中心升级改造项目-电梯采购与安装共1台，主要内容为电梯设备采购、包装、运输、安装、单机调试、测试、检验、验收、取证(安徽省特种设备检测院颁发的电梯验收合格证书)、移交、日常维护保修保养、售后跟踪服务等，具体内容详见采购需求。总造价约15.20 万元。</w:t>
      </w:r>
    </w:p>
    <w:p w14:paraId="1B7B3F63">
      <w:pPr>
        <w:numPr>
          <w:ilvl w:val="0"/>
          <w:numId w:val="0"/>
        </w:numPr>
        <w:spacing w:line="360" w:lineRule="auto"/>
        <w:jc w:val="both"/>
        <w:rPr>
          <w:rFonts w:hint="default"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二、工期</w:t>
      </w:r>
    </w:p>
    <w:p w14:paraId="5187BEC2">
      <w:pPr>
        <w:numPr>
          <w:ilvl w:val="0"/>
          <w:numId w:val="0"/>
        </w:numPr>
        <w:spacing w:line="360" w:lineRule="auto"/>
        <w:ind w:firstLine="480" w:firstLineChars="2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自签发开工令后30日历天完成全部工作内容。</w:t>
      </w:r>
    </w:p>
    <w:p w14:paraId="5DC73D83">
      <w:pPr>
        <w:numPr>
          <w:ilvl w:val="0"/>
          <w:numId w:val="0"/>
        </w:numPr>
        <w:spacing w:line="360" w:lineRule="auto"/>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 xml:space="preserve">三、服务要求 </w:t>
      </w:r>
    </w:p>
    <w:p w14:paraId="52FCA99C">
      <w:pPr>
        <w:numPr>
          <w:ilvl w:val="0"/>
          <w:numId w:val="0"/>
        </w:numPr>
        <w:spacing w:line="360" w:lineRule="auto"/>
        <w:ind w:firstLine="480" w:firstLineChars="200"/>
        <w:jc w:val="both"/>
        <w:rPr>
          <w:rFonts w:hint="default"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1、参加发包活动的企业应自行组织对工程施工现场及周边环境进行踏勘，以便获取有关编制响应文件和签署工程建设合同所涉及施工现场的一切资料。承包企业在签订合同和施工过程中，不得以不完全了解现场情况等为由，提出任何形式的增加工程造价或索赔的要求。</w:t>
      </w:r>
    </w:p>
    <w:p w14:paraId="30BE413D">
      <w:pPr>
        <w:numPr>
          <w:ilvl w:val="0"/>
          <w:numId w:val="0"/>
        </w:numPr>
        <w:spacing w:after="120" w:line="400" w:lineRule="atLeast"/>
        <w:ind w:left="0" w:leftChars="0" w:firstLine="480" w:firstLineChars="200"/>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lang w:val="en-US" w:eastAsia="zh-CN" w:bidi="ar-SA"/>
        </w:rPr>
        <w:t>2、</w:t>
      </w:r>
      <w:r>
        <w:rPr>
          <w:rFonts w:hint="eastAsia" w:ascii="宋体" w:hAnsi="宋体"/>
          <w:bCs/>
          <w:sz w:val="24"/>
          <w:lang w:val="en-US" w:eastAsia="zh-CN"/>
        </w:rPr>
        <w:t>清单</w:t>
      </w:r>
    </w:p>
    <w:tbl>
      <w:tblPr>
        <w:tblStyle w:val="8"/>
        <w:tblW w:w="895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66"/>
        <w:gridCol w:w="3138"/>
        <w:gridCol w:w="3533"/>
        <w:gridCol w:w="1317"/>
      </w:tblGrid>
      <w:tr w14:paraId="13315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4" w:hRule="atLeast"/>
        </w:trPr>
        <w:tc>
          <w:tcPr>
            <w:tcW w:w="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7CDB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序号</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73A1A">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产品名称</w:t>
            </w:r>
          </w:p>
        </w:tc>
        <w:tc>
          <w:tcPr>
            <w:tcW w:w="3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8554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技术参数</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EAE78">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数量</w:t>
            </w:r>
          </w:p>
        </w:tc>
      </w:tr>
      <w:tr w14:paraId="6C86A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4" w:hRule="atLeast"/>
        </w:trPr>
        <w:tc>
          <w:tcPr>
            <w:tcW w:w="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684A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74BF5">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无机房病床电梯</w:t>
            </w:r>
          </w:p>
        </w:tc>
        <w:tc>
          <w:tcPr>
            <w:tcW w:w="3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38B5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1600kg 1.0m/s 3层/3站/3门</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24AD0">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r>
    </w:tbl>
    <w:p w14:paraId="281092C0">
      <w:pPr>
        <w:numPr>
          <w:ilvl w:val="0"/>
          <w:numId w:val="0"/>
        </w:numPr>
        <w:spacing w:line="360" w:lineRule="auto"/>
        <w:jc w:val="both"/>
        <w:rPr>
          <w:rFonts w:hint="eastAsia" w:ascii="宋体" w:hAnsi="宋体" w:eastAsia="宋体" w:cs="宋体"/>
          <w:b/>
          <w:bCs/>
          <w:sz w:val="28"/>
          <w:szCs w:val="28"/>
          <w:highlight w:val="none"/>
        </w:rPr>
      </w:pPr>
      <w:r>
        <w:rPr>
          <w:rFonts w:hint="eastAsia" w:ascii="宋体" w:hAnsi="宋体" w:eastAsia="宋体" w:cs="宋体"/>
          <w:b w:val="0"/>
          <w:bCs/>
          <w:kern w:val="0"/>
          <w:sz w:val="24"/>
          <w:szCs w:val="24"/>
          <w:highlight w:val="none"/>
          <w:lang w:val="en-US" w:eastAsia="zh-CN" w:bidi="ar-SA"/>
        </w:rPr>
        <w:t>四、</w:t>
      </w:r>
      <w:r>
        <w:rPr>
          <w:rFonts w:hint="default" w:ascii="宋体" w:hAnsi="宋体" w:eastAsia="宋体" w:cs="宋体"/>
          <w:b w:val="0"/>
          <w:bCs/>
          <w:kern w:val="0"/>
          <w:sz w:val="24"/>
          <w:szCs w:val="24"/>
          <w:highlight w:val="none"/>
          <w:lang w:val="en-US" w:eastAsia="zh-CN" w:bidi="ar-SA"/>
        </w:rPr>
        <w:t>技术规格要求</w:t>
      </w:r>
    </w:p>
    <w:tbl>
      <w:tblPr>
        <w:tblStyle w:val="8"/>
        <w:tblW w:w="8956" w:type="dxa"/>
        <w:tblInd w:w="108"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1200"/>
        <w:gridCol w:w="2400"/>
        <w:gridCol w:w="5356"/>
      </w:tblGrid>
      <w:tr w14:paraId="14F687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36" w:hRule="atLeast"/>
        </w:trPr>
        <w:tc>
          <w:tcPr>
            <w:tcW w:w="1200" w:type="dxa"/>
            <w:vMerge w:val="restart"/>
            <w:tcBorders>
              <w:top w:val="single" w:color="auto" w:sz="0" w:space="0"/>
              <w:left w:val="single" w:color="auto" w:sz="4" w:space="0"/>
              <w:right w:val="single" w:color="auto" w:sz="4" w:space="0"/>
            </w:tcBorders>
            <w:vAlign w:val="center"/>
          </w:tcPr>
          <w:p w14:paraId="68424B00">
            <w:pPr>
              <w:spacing w:after="0" w:line="240" w:lineRule="auto"/>
              <w:rPr>
                <w:rFonts w:hint="eastAsia" w:ascii="宋体" w:hAnsi="宋体" w:eastAsia="宋体" w:cs="宋体"/>
                <w:bCs/>
                <w:spacing w:val="-5"/>
                <w:sz w:val="24"/>
                <w:szCs w:val="24"/>
                <w:u w:val="single"/>
                <w:lang w:val="en-US" w:eastAsia="zh-CN" w:bidi="ar-SA"/>
              </w:rPr>
            </w:pPr>
            <w:r>
              <w:rPr>
                <w:rFonts w:hint="eastAsia" w:ascii="宋体" w:hAnsi="宋体" w:eastAsia="宋体" w:cs="宋体"/>
                <w:b/>
                <w:bCs/>
                <w:sz w:val="24"/>
                <w:szCs w:val="24"/>
                <w:u w:val="single"/>
                <w:lang w:eastAsia="zh-CN"/>
              </w:rPr>
              <w:t>一般规格</w:t>
            </w:r>
          </w:p>
        </w:tc>
        <w:tc>
          <w:tcPr>
            <w:tcW w:w="24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4733FF3">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产品名称</w:t>
            </w:r>
          </w:p>
        </w:tc>
        <w:tc>
          <w:tcPr>
            <w:tcW w:w="53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EF642DC">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无机房病床电梯</w:t>
            </w:r>
          </w:p>
        </w:tc>
      </w:tr>
      <w:tr w14:paraId="02EA909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12"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309C4A5C">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single" w:color="auto" w:sz="4" w:space="0"/>
              <w:left w:val="nil"/>
              <w:bottom w:val="single" w:color="auto" w:sz="4" w:space="0"/>
              <w:right w:val="single" w:color="auto" w:sz="4" w:space="0"/>
            </w:tcBorders>
            <w:shd w:val="clear" w:color="auto" w:fill="auto"/>
            <w:noWrap/>
            <w:vAlign w:val="center"/>
          </w:tcPr>
          <w:p w14:paraId="3B69A11B">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型号/规格/数量</w:t>
            </w:r>
          </w:p>
        </w:tc>
        <w:tc>
          <w:tcPr>
            <w:tcW w:w="5356" w:type="dxa"/>
            <w:tcBorders>
              <w:top w:val="single" w:color="auto" w:sz="4" w:space="0"/>
              <w:left w:val="nil"/>
              <w:bottom w:val="single" w:color="auto" w:sz="4" w:space="0"/>
              <w:right w:val="single" w:color="auto" w:sz="4" w:space="0"/>
            </w:tcBorders>
            <w:shd w:val="clear" w:color="auto" w:fill="auto"/>
            <w:noWrap/>
            <w:vAlign w:val="center"/>
          </w:tcPr>
          <w:p w14:paraId="45D574A0">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1台</w:t>
            </w:r>
          </w:p>
        </w:tc>
      </w:tr>
      <w:tr w14:paraId="30A804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0"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346301DD">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0C1F6124">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额定载重量</w:t>
            </w:r>
          </w:p>
        </w:tc>
        <w:tc>
          <w:tcPr>
            <w:tcW w:w="5356" w:type="dxa"/>
            <w:tcBorders>
              <w:top w:val="nil"/>
              <w:left w:val="nil"/>
              <w:bottom w:val="single" w:color="auto" w:sz="4" w:space="0"/>
              <w:right w:val="single" w:color="auto" w:sz="4" w:space="0"/>
            </w:tcBorders>
            <w:shd w:val="clear" w:color="auto" w:fill="auto"/>
            <w:noWrap/>
            <w:vAlign w:val="center"/>
          </w:tcPr>
          <w:p w14:paraId="63CF19D6">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1600公斤</w:t>
            </w:r>
          </w:p>
        </w:tc>
      </w:tr>
      <w:tr w14:paraId="7DE935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5882BE21">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64981D05">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额定速度</w:t>
            </w:r>
          </w:p>
        </w:tc>
        <w:tc>
          <w:tcPr>
            <w:tcW w:w="5356" w:type="dxa"/>
            <w:tcBorders>
              <w:top w:val="nil"/>
              <w:left w:val="nil"/>
              <w:bottom w:val="single" w:color="auto" w:sz="4" w:space="0"/>
              <w:right w:val="single" w:color="auto" w:sz="4" w:space="0"/>
            </w:tcBorders>
            <w:shd w:val="clear" w:color="auto" w:fill="auto"/>
            <w:noWrap/>
            <w:vAlign w:val="center"/>
          </w:tcPr>
          <w:p w14:paraId="75B6705A">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1m/s</w:t>
            </w:r>
          </w:p>
        </w:tc>
      </w:tr>
      <w:tr w14:paraId="1E65AB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08E041F3">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7AA93921">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行程</w:t>
            </w:r>
          </w:p>
        </w:tc>
        <w:tc>
          <w:tcPr>
            <w:tcW w:w="5356" w:type="dxa"/>
            <w:tcBorders>
              <w:top w:val="nil"/>
              <w:left w:val="nil"/>
              <w:bottom w:val="single" w:color="auto" w:sz="4" w:space="0"/>
              <w:right w:val="single" w:color="auto" w:sz="4" w:space="0"/>
            </w:tcBorders>
            <w:shd w:val="clear" w:color="auto" w:fill="auto"/>
            <w:noWrap/>
            <w:vAlign w:val="center"/>
          </w:tcPr>
          <w:p w14:paraId="655231A4">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16.8米</w:t>
            </w:r>
          </w:p>
        </w:tc>
      </w:tr>
      <w:tr w14:paraId="2AB9690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7F15453D">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057A7928">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总楼层/服务楼层/门</w:t>
            </w:r>
          </w:p>
        </w:tc>
        <w:tc>
          <w:tcPr>
            <w:tcW w:w="5356" w:type="dxa"/>
            <w:tcBorders>
              <w:top w:val="nil"/>
              <w:left w:val="nil"/>
              <w:bottom w:val="single" w:color="auto" w:sz="4" w:space="0"/>
              <w:right w:val="single" w:color="auto" w:sz="4" w:space="0"/>
            </w:tcBorders>
            <w:shd w:val="clear" w:color="auto" w:fill="auto"/>
            <w:noWrap/>
            <w:vAlign w:val="center"/>
          </w:tcPr>
          <w:p w14:paraId="18FCFCD0">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3 / 3 / 3</w:t>
            </w:r>
          </w:p>
        </w:tc>
      </w:tr>
      <w:tr w14:paraId="097FF1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12"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264A2A3B">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1313C492">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 xml:space="preserve">轿厢类型    </w:t>
            </w:r>
          </w:p>
        </w:tc>
        <w:tc>
          <w:tcPr>
            <w:tcW w:w="5356" w:type="dxa"/>
            <w:tcBorders>
              <w:top w:val="nil"/>
              <w:left w:val="nil"/>
              <w:bottom w:val="single" w:color="auto" w:sz="4" w:space="0"/>
              <w:right w:val="single" w:color="auto" w:sz="4" w:space="0"/>
            </w:tcBorders>
            <w:shd w:val="clear" w:color="auto" w:fill="auto"/>
            <w:noWrap/>
            <w:vAlign w:val="center"/>
          </w:tcPr>
          <w:p w14:paraId="6B1AC2CE">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贯通门</w:t>
            </w:r>
          </w:p>
        </w:tc>
      </w:tr>
      <w:tr w14:paraId="5E515B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restart"/>
            <w:tcBorders>
              <w:top w:val="single" w:color="auto" w:sz="0" w:space="0"/>
              <w:left w:val="single" w:color="auto" w:sz="4" w:space="0"/>
              <w:bottom w:val="single" w:color="auto" w:sz="0" w:space="0"/>
              <w:right w:val="single" w:color="auto" w:sz="4" w:space="0"/>
            </w:tcBorders>
            <w:shd w:val="clear" w:color="auto" w:fill="auto"/>
            <w:noWrap/>
            <w:vAlign w:val="center"/>
          </w:tcPr>
          <w:p w14:paraId="5FFAA320">
            <w:pPr>
              <w:spacing w:after="0" w:line="240" w:lineRule="auto"/>
              <w:jc w:val="center"/>
              <w:rPr>
                <w:rFonts w:hint="eastAsia" w:ascii="宋体" w:hAnsi="宋体" w:eastAsia="宋体" w:cs="宋体"/>
                <w:bCs/>
                <w:spacing w:val="-5"/>
                <w:sz w:val="24"/>
                <w:szCs w:val="24"/>
                <w:u w:val="single"/>
                <w:lang w:val="en-US" w:eastAsia="zh-CN" w:bidi="ar-SA"/>
              </w:rPr>
            </w:pPr>
            <w:r>
              <w:rPr>
                <w:rFonts w:hint="eastAsia" w:ascii="宋体" w:hAnsi="宋体" w:eastAsia="宋体" w:cs="宋体"/>
                <w:b/>
                <w:bCs/>
                <w:spacing w:val="-5"/>
                <w:sz w:val="24"/>
                <w:szCs w:val="24"/>
                <w:u w:val="single"/>
                <w:lang w:val="en-US" w:eastAsia="zh-CN" w:bidi="ar-SA"/>
              </w:rPr>
              <w:t>操作系统</w:t>
            </w:r>
          </w:p>
        </w:tc>
        <w:tc>
          <w:tcPr>
            <w:tcW w:w="2400" w:type="dxa"/>
            <w:tcBorders>
              <w:top w:val="nil"/>
              <w:left w:val="nil"/>
              <w:bottom w:val="single" w:color="auto" w:sz="4" w:space="0"/>
              <w:right w:val="single" w:color="auto" w:sz="4" w:space="0"/>
            </w:tcBorders>
            <w:shd w:val="clear" w:color="auto" w:fill="auto"/>
            <w:noWrap/>
            <w:vAlign w:val="center"/>
          </w:tcPr>
          <w:p w14:paraId="048AC8B5">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控制系统</w:t>
            </w:r>
          </w:p>
        </w:tc>
        <w:tc>
          <w:tcPr>
            <w:tcW w:w="5356" w:type="dxa"/>
            <w:tcBorders>
              <w:top w:val="nil"/>
              <w:left w:val="nil"/>
              <w:bottom w:val="single" w:color="auto" w:sz="4" w:space="0"/>
              <w:right w:val="single" w:color="auto" w:sz="4" w:space="0"/>
            </w:tcBorders>
            <w:shd w:val="clear" w:color="auto" w:fill="auto"/>
            <w:noWrap/>
            <w:vAlign w:val="center"/>
          </w:tcPr>
          <w:p w14:paraId="772A9DDD">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电脑智能控制，串行传输系统</w:t>
            </w:r>
          </w:p>
        </w:tc>
      </w:tr>
      <w:tr w14:paraId="796553F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41AC0D4A">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25A86CA7">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控制方式</w:t>
            </w:r>
          </w:p>
        </w:tc>
        <w:tc>
          <w:tcPr>
            <w:tcW w:w="5356" w:type="dxa"/>
            <w:tcBorders>
              <w:top w:val="nil"/>
              <w:left w:val="nil"/>
              <w:bottom w:val="single" w:color="auto" w:sz="4" w:space="0"/>
              <w:right w:val="single" w:color="auto" w:sz="4" w:space="0"/>
            </w:tcBorders>
            <w:shd w:val="clear" w:color="auto" w:fill="auto"/>
            <w:noWrap/>
            <w:vAlign w:val="center"/>
          </w:tcPr>
          <w:p w14:paraId="354BB95C">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集选</w:t>
            </w:r>
          </w:p>
        </w:tc>
      </w:tr>
      <w:tr w14:paraId="394383C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restart"/>
            <w:tcBorders>
              <w:top w:val="single" w:color="auto" w:sz="0" w:space="0"/>
              <w:left w:val="single" w:color="auto" w:sz="4" w:space="0"/>
              <w:bottom w:val="single" w:color="auto" w:sz="0" w:space="0"/>
              <w:right w:val="single" w:color="auto" w:sz="4" w:space="0"/>
            </w:tcBorders>
            <w:shd w:val="clear" w:color="auto" w:fill="auto"/>
            <w:noWrap/>
            <w:vAlign w:val="center"/>
          </w:tcPr>
          <w:p w14:paraId="29D0D4CE">
            <w:pPr>
              <w:spacing w:after="0" w:line="240" w:lineRule="auto"/>
              <w:jc w:val="center"/>
              <w:rPr>
                <w:rFonts w:hint="eastAsia" w:ascii="宋体" w:hAnsi="宋体" w:eastAsia="宋体" w:cs="宋体"/>
                <w:bCs/>
                <w:spacing w:val="-5"/>
                <w:sz w:val="24"/>
                <w:szCs w:val="24"/>
                <w:u w:val="single"/>
                <w:lang w:val="en-US" w:eastAsia="zh-CN" w:bidi="ar-SA"/>
              </w:rPr>
            </w:pPr>
            <w:r>
              <w:rPr>
                <w:rFonts w:hint="eastAsia" w:ascii="宋体" w:hAnsi="宋体" w:eastAsia="宋体" w:cs="宋体"/>
                <w:b/>
                <w:bCs/>
                <w:spacing w:val="-5"/>
                <w:sz w:val="24"/>
                <w:szCs w:val="24"/>
                <w:u w:val="single"/>
                <w:lang w:val="en-US" w:eastAsia="zh-CN" w:bidi="ar-SA"/>
              </w:rPr>
              <w:t>机械规格</w:t>
            </w:r>
          </w:p>
        </w:tc>
        <w:tc>
          <w:tcPr>
            <w:tcW w:w="2400" w:type="dxa"/>
            <w:tcBorders>
              <w:top w:val="nil"/>
              <w:left w:val="nil"/>
              <w:bottom w:val="single" w:color="auto" w:sz="4" w:space="0"/>
              <w:right w:val="single" w:color="auto" w:sz="4" w:space="0"/>
            </w:tcBorders>
            <w:shd w:val="clear" w:color="auto" w:fill="auto"/>
            <w:noWrap/>
            <w:vAlign w:val="center"/>
          </w:tcPr>
          <w:p w14:paraId="317F26A6">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驱动系统</w:t>
            </w:r>
          </w:p>
        </w:tc>
        <w:tc>
          <w:tcPr>
            <w:tcW w:w="5356" w:type="dxa"/>
            <w:tcBorders>
              <w:top w:val="nil"/>
              <w:left w:val="nil"/>
              <w:bottom w:val="single" w:color="auto" w:sz="4" w:space="0"/>
              <w:right w:val="single" w:color="auto" w:sz="4" w:space="0"/>
            </w:tcBorders>
            <w:shd w:val="clear" w:color="auto" w:fill="auto"/>
            <w:noWrap/>
            <w:vAlign w:val="center"/>
          </w:tcPr>
          <w:p w14:paraId="1198A66F">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交流调频调压驱动</w:t>
            </w:r>
          </w:p>
        </w:tc>
      </w:tr>
      <w:tr w14:paraId="4E847B4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29A381E0">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4E6C322F">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机械位置</w:t>
            </w:r>
          </w:p>
        </w:tc>
        <w:tc>
          <w:tcPr>
            <w:tcW w:w="5356" w:type="dxa"/>
            <w:tcBorders>
              <w:top w:val="nil"/>
              <w:left w:val="nil"/>
              <w:bottom w:val="single" w:color="auto" w:sz="4" w:space="0"/>
              <w:right w:val="single" w:color="auto" w:sz="4" w:space="0"/>
            </w:tcBorders>
            <w:shd w:val="clear" w:color="auto" w:fill="auto"/>
            <w:noWrap/>
            <w:vAlign w:val="center"/>
          </w:tcPr>
          <w:p w14:paraId="42156B26">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井道顶部</w:t>
            </w:r>
          </w:p>
        </w:tc>
      </w:tr>
      <w:tr w14:paraId="35C8A3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restart"/>
            <w:tcBorders>
              <w:top w:val="single" w:color="auto" w:sz="0" w:space="0"/>
              <w:left w:val="single" w:color="auto" w:sz="4" w:space="0"/>
              <w:bottom w:val="single" w:color="auto" w:sz="0" w:space="0"/>
              <w:right w:val="single" w:color="auto" w:sz="4" w:space="0"/>
            </w:tcBorders>
            <w:shd w:val="clear" w:color="auto" w:fill="auto"/>
            <w:noWrap/>
            <w:vAlign w:val="center"/>
          </w:tcPr>
          <w:p w14:paraId="55DD2EFC">
            <w:pPr>
              <w:spacing w:after="0" w:line="240" w:lineRule="auto"/>
              <w:jc w:val="center"/>
              <w:rPr>
                <w:rFonts w:hint="eastAsia" w:ascii="宋体" w:hAnsi="宋体" w:eastAsia="宋体" w:cs="宋体"/>
                <w:bCs/>
                <w:spacing w:val="-5"/>
                <w:sz w:val="24"/>
                <w:szCs w:val="24"/>
                <w:u w:val="single"/>
                <w:lang w:val="en-US" w:eastAsia="zh-CN" w:bidi="ar-SA"/>
              </w:rPr>
            </w:pPr>
            <w:r>
              <w:rPr>
                <w:rFonts w:hint="eastAsia" w:ascii="宋体" w:hAnsi="宋体" w:eastAsia="宋体" w:cs="宋体"/>
                <w:b/>
                <w:bCs/>
                <w:spacing w:val="-5"/>
                <w:sz w:val="24"/>
                <w:szCs w:val="24"/>
                <w:u w:val="single"/>
                <w:lang w:val="en-US" w:eastAsia="zh-CN" w:bidi="ar-SA"/>
              </w:rPr>
              <w:t>建筑尺寸</w:t>
            </w:r>
          </w:p>
        </w:tc>
        <w:tc>
          <w:tcPr>
            <w:tcW w:w="2400" w:type="dxa"/>
            <w:tcBorders>
              <w:top w:val="nil"/>
              <w:left w:val="nil"/>
              <w:bottom w:val="single" w:color="auto" w:sz="4" w:space="0"/>
              <w:right w:val="single" w:color="auto" w:sz="4" w:space="0"/>
            </w:tcBorders>
            <w:shd w:val="clear" w:color="auto" w:fill="auto"/>
            <w:noWrap/>
            <w:vAlign w:val="center"/>
          </w:tcPr>
          <w:p w14:paraId="7EEF5F1E">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井道尺寸</w:t>
            </w:r>
          </w:p>
        </w:tc>
        <w:tc>
          <w:tcPr>
            <w:tcW w:w="5356" w:type="dxa"/>
            <w:tcBorders>
              <w:top w:val="nil"/>
              <w:left w:val="nil"/>
              <w:bottom w:val="single" w:color="auto" w:sz="4" w:space="0"/>
              <w:right w:val="single" w:color="auto" w:sz="4" w:space="0"/>
            </w:tcBorders>
            <w:shd w:val="clear" w:color="auto" w:fill="auto"/>
            <w:noWrap/>
            <w:vAlign w:val="center"/>
          </w:tcPr>
          <w:p w14:paraId="765676BC">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3360毫米(宽) X 2100毫米(深)</w:t>
            </w:r>
          </w:p>
        </w:tc>
      </w:tr>
      <w:tr w14:paraId="16F1BDB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0E1B982C">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1D2A4C31">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顶层高度</w:t>
            </w:r>
          </w:p>
        </w:tc>
        <w:tc>
          <w:tcPr>
            <w:tcW w:w="5356" w:type="dxa"/>
            <w:tcBorders>
              <w:top w:val="nil"/>
              <w:left w:val="nil"/>
              <w:bottom w:val="single" w:color="auto" w:sz="4" w:space="0"/>
              <w:right w:val="single" w:color="auto" w:sz="4" w:space="0"/>
            </w:tcBorders>
            <w:shd w:val="clear" w:color="auto" w:fill="auto"/>
            <w:noWrap/>
            <w:vAlign w:val="center"/>
          </w:tcPr>
          <w:p w14:paraId="2B0E7818">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4400毫米</w:t>
            </w:r>
          </w:p>
        </w:tc>
      </w:tr>
      <w:tr w14:paraId="600F8C1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4CAAA39F">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13E7950C">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地坑深度</w:t>
            </w:r>
          </w:p>
        </w:tc>
        <w:tc>
          <w:tcPr>
            <w:tcW w:w="5356" w:type="dxa"/>
            <w:tcBorders>
              <w:top w:val="nil"/>
              <w:left w:val="nil"/>
              <w:bottom w:val="single" w:color="auto" w:sz="4" w:space="0"/>
              <w:right w:val="single" w:color="auto" w:sz="4" w:space="0"/>
            </w:tcBorders>
            <w:shd w:val="clear" w:color="auto" w:fill="auto"/>
            <w:noWrap/>
            <w:vAlign w:val="center"/>
          </w:tcPr>
          <w:p w14:paraId="5FDE4081">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1650毫米</w:t>
            </w:r>
          </w:p>
        </w:tc>
      </w:tr>
      <w:tr w14:paraId="02A76E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restart"/>
            <w:tcBorders>
              <w:top w:val="single" w:color="auto" w:sz="0" w:space="0"/>
              <w:left w:val="single" w:color="auto" w:sz="4" w:space="0"/>
              <w:bottom w:val="single" w:color="auto" w:sz="0" w:space="0"/>
              <w:right w:val="single" w:color="auto" w:sz="4" w:space="0"/>
            </w:tcBorders>
            <w:shd w:val="clear" w:color="auto" w:fill="auto"/>
            <w:noWrap/>
            <w:vAlign w:val="center"/>
          </w:tcPr>
          <w:p w14:paraId="7F430F7F">
            <w:pPr>
              <w:spacing w:after="0" w:line="240" w:lineRule="auto"/>
              <w:jc w:val="center"/>
              <w:rPr>
                <w:rFonts w:hint="eastAsia" w:ascii="宋体" w:hAnsi="宋体" w:eastAsia="宋体" w:cs="宋体"/>
                <w:bCs/>
                <w:spacing w:val="-5"/>
                <w:sz w:val="24"/>
                <w:szCs w:val="24"/>
                <w:u w:val="single"/>
                <w:lang w:val="en-US" w:eastAsia="zh-CN" w:bidi="ar-SA"/>
              </w:rPr>
            </w:pPr>
            <w:r>
              <w:rPr>
                <w:rFonts w:hint="eastAsia" w:ascii="宋体" w:hAnsi="宋体" w:eastAsia="宋体" w:cs="宋体"/>
                <w:b/>
                <w:bCs/>
                <w:spacing w:val="-5"/>
                <w:sz w:val="24"/>
                <w:szCs w:val="24"/>
                <w:u w:val="single"/>
                <w:lang w:val="en-US" w:eastAsia="zh-CN" w:bidi="ar-SA"/>
              </w:rPr>
              <w:t>入口尺寸</w:t>
            </w:r>
          </w:p>
        </w:tc>
        <w:tc>
          <w:tcPr>
            <w:tcW w:w="2400" w:type="dxa"/>
            <w:tcBorders>
              <w:top w:val="nil"/>
              <w:left w:val="nil"/>
              <w:bottom w:val="single" w:color="auto" w:sz="4" w:space="0"/>
              <w:right w:val="single" w:color="auto" w:sz="4" w:space="0"/>
            </w:tcBorders>
            <w:shd w:val="clear" w:color="auto" w:fill="auto"/>
            <w:noWrap/>
            <w:vAlign w:val="center"/>
          </w:tcPr>
          <w:p w14:paraId="4539836B">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类型</w:t>
            </w:r>
          </w:p>
        </w:tc>
        <w:tc>
          <w:tcPr>
            <w:tcW w:w="5356" w:type="dxa"/>
            <w:tcBorders>
              <w:top w:val="nil"/>
              <w:left w:val="nil"/>
              <w:bottom w:val="single" w:color="auto" w:sz="4" w:space="0"/>
              <w:right w:val="single" w:color="auto" w:sz="4" w:space="0"/>
            </w:tcBorders>
            <w:shd w:val="clear" w:color="auto" w:fill="auto"/>
            <w:noWrap/>
            <w:vAlign w:val="center"/>
          </w:tcPr>
          <w:p w14:paraId="69106749">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2扇自动门</w:t>
            </w:r>
          </w:p>
        </w:tc>
      </w:tr>
      <w:tr w14:paraId="1D95FB9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6739EA05">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13E6DF81">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尺寸</w:t>
            </w:r>
          </w:p>
        </w:tc>
        <w:tc>
          <w:tcPr>
            <w:tcW w:w="5356" w:type="dxa"/>
            <w:tcBorders>
              <w:top w:val="nil"/>
              <w:left w:val="nil"/>
              <w:bottom w:val="single" w:color="auto" w:sz="4" w:space="0"/>
              <w:right w:val="single" w:color="auto" w:sz="4" w:space="0"/>
            </w:tcBorders>
            <w:shd w:val="clear" w:color="auto" w:fill="auto"/>
            <w:noWrap/>
            <w:vAlign w:val="center"/>
          </w:tcPr>
          <w:p w14:paraId="10748614">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1100毫米(宽) X 2100毫米(高)</w:t>
            </w:r>
          </w:p>
        </w:tc>
      </w:tr>
      <w:tr w14:paraId="5E22FC0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75" w:hRule="atLeast"/>
        </w:trPr>
        <w:tc>
          <w:tcPr>
            <w:tcW w:w="1200" w:type="dxa"/>
            <w:vMerge w:val="restart"/>
            <w:tcBorders>
              <w:top w:val="single" w:color="auto" w:sz="0" w:space="0"/>
              <w:left w:val="single" w:color="auto" w:sz="4" w:space="0"/>
              <w:bottom w:val="single" w:color="auto" w:sz="0" w:space="0"/>
              <w:right w:val="single" w:color="auto" w:sz="4" w:space="0"/>
            </w:tcBorders>
            <w:shd w:val="clear" w:color="auto" w:fill="auto"/>
            <w:noWrap/>
            <w:vAlign w:val="center"/>
          </w:tcPr>
          <w:p w14:paraId="3FDD8665">
            <w:pPr>
              <w:spacing w:after="0" w:line="240" w:lineRule="auto"/>
              <w:jc w:val="center"/>
              <w:rPr>
                <w:rFonts w:hint="eastAsia" w:ascii="宋体" w:hAnsi="宋体" w:eastAsia="宋体" w:cs="宋体"/>
                <w:bCs/>
                <w:spacing w:val="-5"/>
                <w:sz w:val="24"/>
                <w:szCs w:val="24"/>
                <w:u w:val="single"/>
                <w:lang w:val="en-US" w:eastAsia="zh-CN" w:bidi="ar-SA"/>
              </w:rPr>
            </w:pPr>
            <w:r>
              <w:rPr>
                <w:rFonts w:hint="eastAsia" w:ascii="宋体" w:hAnsi="宋体" w:eastAsia="宋体" w:cs="宋体"/>
                <w:b/>
                <w:bCs/>
                <w:spacing w:val="-5"/>
                <w:sz w:val="24"/>
                <w:szCs w:val="24"/>
                <w:u w:val="single"/>
                <w:lang w:val="en-US" w:eastAsia="zh-CN" w:bidi="ar-SA"/>
              </w:rPr>
              <w:t>轿厢</w:t>
            </w:r>
          </w:p>
        </w:tc>
        <w:tc>
          <w:tcPr>
            <w:tcW w:w="24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790B847">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轿厢尺寸</w:t>
            </w:r>
          </w:p>
        </w:tc>
        <w:tc>
          <w:tcPr>
            <w:tcW w:w="53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07A6068">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1900毫米(宽) X1800毫米(深) X 2300毫米(高)</w:t>
            </w:r>
          </w:p>
        </w:tc>
      </w:tr>
      <w:tr w14:paraId="6BA955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3ECD90BD">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single" w:color="auto" w:sz="4" w:space="0"/>
              <w:left w:val="nil"/>
              <w:bottom w:val="single" w:color="auto" w:sz="4" w:space="0"/>
              <w:right w:val="single" w:color="auto" w:sz="4" w:space="0"/>
            </w:tcBorders>
            <w:shd w:val="clear" w:color="auto" w:fill="auto"/>
            <w:noWrap/>
            <w:vAlign w:val="center"/>
          </w:tcPr>
          <w:p w14:paraId="082E83FF">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en-US" w:bidi="ar-SA"/>
              </w:rPr>
              <w:t>轿门材质</w:t>
            </w:r>
          </w:p>
        </w:tc>
        <w:tc>
          <w:tcPr>
            <w:tcW w:w="5356" w:type="dxa"/>
            <w:tcBorders>
              <w:top w:val="single" w:color="auto" w:sz="4" w:space="0"/>
              <w:left w:val="nil"/>
              <w:bottom w:val="single" w:color="auto" w:sz="4" w:space="0"/>
              <w:right w:val="single" w:color="auto" w:sz="4" w:space="0"/>
            </w:tcBorders>
            <w:shd w:val="clear" w:color="auto" w:fill="auto"/>
            <w:noWrap/>
            <w:vAlign w:val="center"/>
          </w:tcPr>
          <w:p w14:paraId="483B9628">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en-US" w:bidi="ar-SA"/>
              </w:rPr>
              <w:t>304 发纹不锈钢</w:t>
            </w:r>
          </w:p>
        </w:tc>
      </w:tr>
      <w:tr w14:paraId="7B5217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640D9631">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170FAAA3">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轿壁装潢</w:t>
            </w:r>
          </w:p>
        </w:tc>
        <w:tc>
          <w:tcPr>
            <w:tcW w:w="5356" w:type="dxa"/>
            <w:tcBorders>
              <w:top w:val="nil"/>
              <w:left w:val="nil"/>
              <w:bottom w:val="single" w:color="auto" w:sz="4" w:space="0"/>
              <w:right w:val="single" w:color="auto" w:sz="4" w:space="0"/>
            </w:tcBorders>
            <w:shd w:val="clear" w:color="auto" w:fill="auto"/>
            <w:noWrap/>
            <w:vAlign w:val="center"/>
          </w:tcPr>
          <w:p w14:paraId="2E20955C">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en-US" w:bidi="ar-SA"/>
              </w:rPr>
              <w:t>304 发纹不锈钢</w:t>
            </w:r>
          </w:p>
        </w:tc>
      </w:tr>
      <w:tr w14:paraId="6EB712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0DA5A9C6">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529627B2">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轿壁扶手</w:t>
            </w:r>
          </w:p>
        </w:tc>
        <w:tc>
          <w:tcPr>
            <w:tcW w:w="5356" w:type="dxa"/>
            <w:tcBorders>
              <w:top w:val="nil"/>
              <w:left w:val="nil"/>
              <w:bottom w:val="single" w:color="auto" w:sz="4" w:space="0"/>
              <w:right w:val="single" w:color="auto" w:sz="4" w:space="0"/>
            </w:tcBorders>
            <w:shd w:val="clear" w:color="auto" w:fill="auto"/>
            <w:noWrap/>
            <w:vAlign w:val="center"/>
          </w:tcPr>
          <w:p w14:paraId="327085A8">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en-US" w:bidi="ar-SA"/>
              </w:rPr>
              <w:t>304 发纹不锈钢</w:t>
            </w:r>
          </w:p>
        </w:tc>
      </w:tr>
      <w:tr w14:paraId="50C5758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23DBFBBA">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0C0BFB4E">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轿顶类型</w:t>
            </w:r>
          </w:p>
        </w:tc>
        <w:tc>
          <w:tcPr>
            <w:tcW w:w="5356" w:type="dxa"/>
            <w:tcBorders>
              <w:top w:val="nil"/>
              <w:left w:val="nil"/>
              <w:bottom w:val="single" w:color="auto" w:sz="4" w:space="0"/>
              <w:right w:val="single" w:color="auto" w:sz="4" w:space="0"/>
            </w:tcBorders>
            <w:shd w:val="clear" w:color="auto" w:fill="auto"/>
            <w:noWrap/>
            <w:vAlign w:val="center"/>
          </w:tcPr>
          <w:p w14:paraId="5ABC6879">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en-US" w:bidi="ar-SA"/>
              </w:rPr>
              <w:t>304 发纹不锈钢</w:t>
            </w:r>
          </w:p>
        </w:tc>
      </w:tr>
      <w:tr w14:paraId="2BD379C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16FAAEAC">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432A9C2E">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轿厢操作面板</w:t>
            </w:r>
          </w:p>
        </w:tc>
        <w:tc>
          <w:tcPr>
            <w:tcW w:w="5356" w:type="dxa"/>
            <w:tcBorders>
              <w:top w:val="nil"/>
              <w:left w:val="nil"/>
              <w:bottom w:val="single" w:color="auto" w:sz="4" w:space="0"/>
              <w:right w:val="single" w:color="auto" w:sz="4" w:space="0"/>
            </w:tcBorders>
            <w:shd w:val="clear" w:color="auto" w:fill="auto"/>
            <w:noWrap/>
            <w:vAlign w:val="center"/>
          </w:tcPr>
          <w:p w14:paraId="57A60ADA">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黑底白字竖显，抗指纹发纹不锈钢</w:t>
            </w:r>
          </w:p>
        </w:tc>
      </w:tr>
      <w:tr w14:paraId="472D84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421AE0EC">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0F18E486">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残疾人轿厢操作面板</w:t>
            </w:r>
          </w:p>
        </w:tc>
        <w:tc>
          <w:tcPr>
            <w:tcW w:w="5356" w:type="dxa"/>
            <w:tcBorders>
              <w:top w:val="nil"/>
              <w:left w:val="nil"/>
              <w:bottom w:val="single" w:color="auto" w:sz="4" w:space="0"/>
              <w:right w:val="single" w:color="auto" w:sz="4" w:space="0"/>
            </w:tcBorders>
            <w:shd w:val="clear" w:color="auto" w:fill="auto"/>
            <w:noWrap/>
            <w:vAlign w:val="center"/>
          </w:tcPr>
          <w:p w14:paraId="304BFDA5">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en-US" w:bidi="ar-SA"/>
              </w:rPr>
              <w:t>304 发纹不锈钢</w:t>
            </w:r>
          </w:p>
        </w:tc>
      </w:tr>
      <w:tr w14:paraId="5226883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2030B8CC">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48AA3E23">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盲文按钮</w:t>
            </w:r>
          </w:p>
        </w:tc>
        <w:tc>
          <w:tcPr>
            <w:tcW w:w="5356" w:type="dxa"/>
            <w:tcBorders>
              <w:top w:val="nil"/>
              <w:left w:val="nil"/>
              <w:bottom w:val="single" w:color="auto" w:sz="4" w:space="0"/>
              <w:right w:val="single" w:color="auto" w:sz="4" w:space="0"/>
            </w:tcBorders>
            <w:shd w:val="clear" w:color="auto" w:fill="auto"/>
            <w:noWrap/>
            <w:vAlign w:val="center"/>
          </w:tcPr>
          <w:p w14:paraId="22776E77">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en-US" w:bidi="ar-SA"/>
              </w:rPr>
              <w:t>有</w:t>
            </w:r>
          </w:p>
        </w:tc>
      </w:tr>
      <w:tr w14:paraId="0402C1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29192EED">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31F1785D">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地板类型</w:t>
            </w:r>
          </w:p>
        </w:tc>
        <w:tc>
          <w:tcPr>
            <w:tcW w:w="5356" w:type="dxa"/>
            <w:tcBorders>
              <w:top w:val="nil"/>
              <w:left w:val="nil"/>
              <w:bottom w:val="single" w:color="auto" w:sz="4" w:space="0"/>
              <w:right w:val="single" w:color="auto" w:sz="4" w:space="0"/>
            </w:tcBorders>
            <w:shd w:val="clear" w:color="auto" w:fill="auto"/>
            <w:noWrap/>
            <w:vAlign w:val="center"/>
          </w:tcPr>
          <w:p w14:paraId="1845D16C">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PVC</w:t>
            </w:r>
          </w:p>
        </w:tc>
      </w:tr>
      <w:tr w14:paraId="3728EF6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7A17F382">
            <w:pPr>
              <w:spacing w:after="0" w:line="240" w:lineRule="auto"/>
              <w:rPr>
                <w:rFonts w:hint="eastAsia" w:ascii="宋体" w:hAnsi="宋体" w:eastAsia="宋体" w:cs="宋体"/>
                <w:bCs/>
                <w:spacing w:val="-5"/>
                <w:sz w:val="24"/>
                <w:szCs w:val="24"/>
                <w:u w:val="single"/>
                <w:lang w:val="en-US" w:eastAsia="zh-CN" w:bidi="ar-SA"/>
              </w:rPr>
            </w:pPr>
          </w:p>
        </w:tc>
        <w:tc>
          <w:tcPr>
            <w:tcW w:w="2400" w:type="dxa"/>
            <w:tcBorders>
              <w:top w:val="nil"/>
              <w:left w:val="nil"/>
              <w:bottom w:val="single" w:color="auto" w:sz="4" w:space="0"/>
              <w:right w:val="single" w:color="auto" w:sz="4" w:space="0"/>
            </w:tcBorders>
            <w:shd w:val="clear" w:color="auto" w:fill="auto"/>
            <w:noWrap/>
            <w:vAlign w:val="center"/>
          </w:tcPr>
          <w:p w14:paraId="718B9C89">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spacing w:val="-5"/>
                <w:sz w:val="24"/>
                <w:szCs w:val="24"/>
                <w:lang w:val="en-US" w:eastAsia="zh-CN" w:bidi="ar-SA"/>
              </w:rPr>
              <w:t>装潢重量</w:t>
            </w:r>
          </w:p>
        </w:tc>
        <w:tc>
          <w:tcPr>
            <w:tcW w:w="5356" w:type="dxa"/>
            <w:tcBorders>
              <w:top w:val="nil"/>
              <w:left w:val="nil"/>
              <w:bottom w:val="single" w:color="auto" w:sz="4" w:space="0"/>
              <w:right w:val="single" w:color="auto" w:sz="4" w:space="0"/>
            </w:tcBorders>
            <w:shd w:val="clear" w:color="auto" w:fill="auto"/>
            <w:noWrap/>
            <w:vAlign w:val="center"/>
          </w:tcPr>
          <w:p w14:paraId="14A5D22F">
            <w:pPr>
              <w:spacing w:after="0" w:line="240" w:lineRule="auto"/>
              <w:rPr>
                <w:rFonts w:hint="eastAsia" w:ascii="宋体" w:hAnsi="宋体" w:eastAsia="宋体" w:cs="宋体"/>
                <w:spacing w:val="-5"/>
                <w:sz w:val="24"/>
                <w:szCs w:val="24"/>
                <w:lang w:val="en-US" w:eastAsia="zh-CN" w:bidi="ar-SA"/>
              </w:rPr>
            </w:pPr>
            <w:r>
              <w:rPr>
                <w:rFonts w:hint="eastAsia" w:ascii="宋体" w:hAnsi="宋体" w:eastAsia="宋体" w:cs="宋体"/>
                <w:color w:val="000000"/>
                <w:spacing w:val="-5"/>
                <w:sz w:val="24"/>
                <w:szCs w:val="24"/>
                <w:lang w:val="en-US" w:eastAsia="zh-CN" w:bidi="ar-SA"/>
              </w:rPr>
              <w:t>0公斤</w:t>
            </w:r>
          </w:p>
        </w:tc>
      </w:tr>
      <w:tr w14:paraId="4536ED9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88" w:hRule="atLeast"/>
        </w:trPr>
        <w:tc>
          <w:tcPr>
            <w:tcW w:w="1200" w:type="dxa"/>
            <w:vMerge w:val="continue"/>
            <w:tcBorders>
              <w:top w:val="single" w:color="auto" w:sz="0" w:space="0"/>
              <w:left w:val="single" w:color="auto" w:sz="4" w:space="0"/>
              <w:bottom w:val="single" w:color="auto" w:sz="0" w:space="0"/>
              <w:right w:val="single" w:color="auto" w:sz="4" w:space="0"/>
            </w:tcBorders>
            <w:vAlign w:val="center"/>
          </w:tcPr>
          <w:p w14:paraId="4E4BB7AE">
            <w:pPr>
              <w:spacing w:after="0" w:line="240" w:lineRule="auto"/>
              <w:rPr>
                <w:rFonts w:hint="eastAsia" w:ascii="宋体" w:hAnsi="宋体" w:eastAsia="宋体" w:cs="宋体"/>
                <w:b/>
                <w:color w:val="000000"/>
                <w:spacing w:val="-5"/>
                <w:sz w:val="24"/>
                <w:szCs w:val="24"/>
                <w:highlight w:val="none"/>
                <w:u w:val="single"/>
                <w:lang w:val="en-US" w:eastAsia="zh-CN" w:bidi="ar-SA"/>
              </w:rPr>
            </w:pPr>
          </w:p>
        </w:tc>
        <w:tc>
          <w:tcPr>
            <w:tcW w:w="7756" w:type="dxa"/>
            <w:gridSpan w:val="2"/>
            <w:tcBorders>
              <w:top w:val="single" w:color="auto" w:sz="4" w:space="0"/>
              <w:left w:val="nil"/>
              <w:bottom w:val="single" w:color="auto" w:sz="4" w:space="0"/>
              <w:right w:val="single" w:color="auto" w:sz="4" w:space="0"/>
            </w:tcBorders>
            <w:shd w:val="clear" w:color="auto" w:fill="auto"/>
            <w:noWrap/>
            <w:vAlign w:val="center"/>
          </w:tcPr>
          <w:p w14:paraId="77655CDD">
            <w:pPr>
              <w:spacing w:after="0" w:line="240" w:lineRule="auto"/>
              <w:rPr>
                <w:rFonts w:hint="eastAsia" w:ascii="宋体" w:hAnsi="宋体" w:eastAsia="宋体" w:cs="宋体"/>
                <w:color w:val="000000"/>
                <w:spacing w:val="-5"/>
                <w:sz w:val="24"/>
                <w:szCs w:val="24"/>
                <w:highlight w:val="none"/>
                <w:lang w:val="en-US" w:eastAsia="zh-CN" w:bidi="ar-SA"/>
              </w:rPr>
            </w:pPr>
            <w:r>
              <w:rPr>
                <w:rFonts w:hint="eastAsia" w:ascii="宋体" w:hAnsi="宋体" w:eastAsia="宋体" w:cs="宋体"/>
                <w:color w:val="000000"/>
                <w:spacing w:val="-5"/>
                <w:sz w:val="24"/>
                <w:szCs w:val="24"/>
                <w:highlight w:val="none"/>
                <w:lang w:val="en-US" w:eastAsia="zh-CN" w:bidi="ar-SA"/>
              </w:rPr>
              <w:t>《电梯监督检验和定期检验规则》 （TSG_T7001-2023）</w:t>
            </w:r>
          </w:p>
        </w:tc>
      </w:tr>
    </w:tbl>
    <w:p w14:paraId="55F3BA30">
      <w:pPr>
        <w:spacing w:before="0" w:after="0" w:line="560" w:lineRule="exact"/>
        <w:jc w:val="both"/>
        <w:rPr>
          <w:rFonts w:hint="eastAsia" w:ascii="宋体" w:hAnsi="宋体" w:eastAsia="宋体" w:cs="宋体"/>
          <w:b/>
          <w:bCs/>
          <w:sz w:val="28"/>
          <w:szCs w:val="28"/>
          <w:highlight w:val="none"/>
        </w:rPr>
      </w:pPr>
      <w:r>
        <w:rPr>
          <w:rFonts w:hint="eastAsia" w:ascii="宋体" w:hAnsi="宋体" w:eastAsia="宋体" w:cs="宋体"/>
          <w:b w:val="0"/>
          <w:bCs w:val="0"/>
          <w:sz w:val="24"/>
          <w:szCs w:val="24"/>
          <w:highlight w:val="none"/>
        </w:rPr>
        <w:t>特殊描述：1、吊顶采用一体顶。2、轿厢厅门全 304 发纹不锈钢材质。进简易担架。</w:t>
      </w:r>
    </w:p>
    <w:p w14:paraId="6063700D">
      <w:pPr>
        <w:pageBreakBefore w:val="0"/>
        <w:widowControl w:val="0"/>
        <w:spacing w:before="120" w:beforeLines="50" w:after="0" w:line="276" w:lineRule="auto"/>
        <w:ind w:firstLine="482" w:firstLineChars="200"/>
        <w:rPr>
          <w:rFonts w:hint="eastAsia" w:ascii="宋体" w:hAnsi="宋体" w:eastAsia="宋体" w:cs="Times New Roman"/>
          <w:b/>
          <w:bCs w:val="0"/>
          <w:spacing w:val="0"/>
          <w:kern w:val="2"/>
          <w:sz w:val="24"/>
          <w:szCs w:val="24"/>
          <w:lang w:val="en-US" w:eastAsia="zh-CN" w:bidi="ar-SA"/>
        </w:rPr>
      </w:pPr>
      <w:r>
        <w:rPr>
          <w:rFonts w:hint="eastAsia" w:ascii="宋体" w:hAnsi="宋体" w:eastAsia="宋体" w:cs="Times New Roman"/>
          <w:b/>
          <w:bCs w:val="0"/>
          <w:spacing w:val="0"/>
          <w:kern w:val="2"/>
          <w:sz w:val="24"/>
          <w:szCs w:val="24"/>
          <w:lang w:val="en-US" w:eastAsia="zh-CN" w:bidi="ar-SA"/>
        </w:rPr>
        <w:t>功能表（标准）</w:t>
      </w:r>
    </w:p>
    <w:tbl>
      <w:tblPr>
        <w:tblStyle w:val="8"/>
        <w:tblW w:w="9758" w:type="dxa"/>
        <w:tblInd w:w="0" w:type="dxa"/>
        <w:tblLayout w:type="autofit"/>
        <w:tblCellMar>
          <w:top w:w="0" w:type="dxa"/>
          <w:left w:w="108" w:type="dxa"/>
          <w:bottom w:w="0" w:type="dxa"/>
          <w:right w:w="108" w:type="dxa"/>
        </w:tblCellMar>
      </w:tblPr>
      <w:tblGrid>
        <w:gridCol w:w="3238"/>
        <w:gridCol w:w="3118"/>
        <w:gridCol w:w="3402"/>
      </w:tblGrid>
      <w:tr w14:paraId="52F85494">
        <w:trPr>
          <w:trHeight w:val="315" w:hRule="atLeast"/>
        </w:trPr>
        <w:tc>
          <w:tcPr>
            <w:tcW w:w="3238" w:type="dxa"/>
            <w:tcBorders>
              <w:top w:val="double" w:color="auto" w:sz="6" w:space="0"/>
              <w:left w:val="double" w:color="auto" w:sz="6" w:space="0"/>
              <w:bottom w:val="single" w:color="auto" w:sz="4" w:space="0"/>
              <w:right w:val="double" w:color="auto" w:sz="6" w:space="0"/>
            </w:tcBorders>
            <w:shd w:val="clear" w:color="000000" w:fill="A2BAFB"/>
            <w:vAlign w:val="center"/>
          </w:tcPr>
          <w:p w14:paraId="7ABAB8C4">
            <w:pPr>
              <w:rPr>
                <w:rFonts w:hint="eastAsia" w:ascii="宋体" w:hAnsi="宋体" w:eastAsia="宋体" w:cs="宋体"/>
                <w:b/>
                <w:bCs/>
                <w:color w:val="000000"/>
                <w:kern w:val="2"/>
                <w:sz w:val="24"/>
                <w:szCs w:val="24"/>
                <w:u w:val="single"/>
                <w:lang w:val="en-US" w:eastAsia="zh-CN" w:bidi="ar-SA"/>
              </w:rPr>
            </w:pPr>
            <w:r>
              <w:rPr>
                <w:rFonts w:hint="eastAsia" w:ascii="宋体" w:hAnsi="宋体" w:eastAsia="宋体" w:cs="宋体"/>
                <w:b/>
                <w:bCs/>
                <w:color w:val="000000"/>
                <w:kern w:val="2"/>
                <w:sz w:val="24"/>
                <w:szCs w:val="24"/>
                <w:u w:val="single"/>
                <w:lang w:val="en-US" w:eastAsia="zh-CN" w:bidi="ar-SA"/>
              </w:rPr>
              <w:t>安全功能</w:t>
            </w:r>
          </w:p>
        </w:tc>
        <w:tc>
          <w:tcPr>
            <w:tcW w:w="3118" w:type="dxa"/>
            <w:tcBorders>
              <w:top w:val="double" w:color="auto" w:sz="6" w:space="0"/>
              <w:left w:val="nil"/>
              <w:bottom w:val="single" w:color="auto" w:sz="4" w:space="0"/>
              <w:right w:val="double" w:color="auto" w:sz="6" w:space="0"/>
            </w:tcBorders>
            <w:shd w:val="clear" w:color="auto" w:fill="auto"/>
            <w:vAlign w:val="center"/>
          </w:tcPr>
          <w:p w14:paraId="269C3C0C">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禁止开门开关，控制柜内</w:t>
            </w:r>
          </w:p>
        </w:tc>
        <w:tc>
          <w:tcPr>
            <w:tcW w:w="3402" w:type="dxa"/>
            <w:tcBorders>
              <w:top w:val="double" w:color="auto" w:sz="6" w:space="0"/>
              <w:left w:val="nil"/>
              <w:bottom w:val="single" w:color="auto" w:sz="4" w:space="0"/>
              <w:right w:val="double" w:color="auto" w:sz="6" w:space="0"/>
            </w:tcBorders>
            <w:shd w:val="clear" w:color="auto" w:fill="auto"/>
            <w:vAlign w:val="center"/>
          </w:tcPr>
          <w:p w14:paraId="055B3D74">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轿厢照明自动控制</w:t>
            </w:r>
          </w:p>
        </w:tc>
      </w:tr>
      <w:tr w14:paraId="02CF0A95">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634EF3DD">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拯救及故障监测</w:t>
            </w:r>
          </w:p>
        </w:tc>
        <w:tc>
          <w:tcPr>
            <w:tcW w:w="3118" w:type="dxa"/>
            <w:tcBorders>
              <w:top w:val="nil"/>
              <w:left w:val="nil"/>
              <w:bottom w:val="single" w:color="auto" w:sz="4" w:space="0"/>
              <w:right w:val="double" w:color="auto" w:sz="6" w:space="0"/>
            </w:tcBorders>
            <w:shd w:val="clear" w:color="auto" w:fill="auto"/>
            <w:vAlign w:val="center"/>
          </w:tcPr>
          <w:p w14:paraId="2F6FF94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井道急停开关，一个开关</w:t>
            </w:r>
          </w:p>
        </w:tc>
        <w:tc>
          <w:tcPr>
            <w:tcW w:w="3402" w:type="dxa"/>
            <w:tcBorders>
              <w:top w:val="nil"/>
              <w:left w:val="nil"/>
              <w:bottom w:val="single" w:color="auto" w:sz="4" w:space="0"/>
              <w:right w:val="double" w:color="auto" w:sz="6" w:space="0"/>
            </w:tcBorders>
            <w:shd w:val="clear" w:color="000000" w:fill="A2BAFB"/>
            <w:vAlign w:val="center"/>
          </w:tcPr>
          <w:p w14:paraId="19BA6ED0">
            <w:pPr>
              <w:rPr>
                <w:rFonts w:hint="eastAsia" w:ascii="宋体" w:hAnsi="宋体" w:eastAsia="宋体" w:cs="宋体"/>
                <w:b/>
                <w:bCs/>
                <w:color w:val="000000"/>
                <w:kern w:val="2"/>
                <w:sz w:val="24"/>
                <w:szCs w:val="24"/>
                <w:u w:val="single"/>
                <w:lang w:val="en-US" w:eastAsia="zh-CN" w:bidi="ar-SA"/>
              </w:rPr>
            </w:pPr>
            <w:r>
              <w:rPr>
                <w:rFonts w:hint="eastAsia" w:ascii="宋体" w:hAnsi="宋体" w:eastAsia="宋体" w:cs="宋体"/>
                <w:b/>
                <w:bCs/>
                <w:color w:val="000000"/>
                <w:kern w:val="2"/>
                <w:sz w:val="24"/>
                <w:szCs w:val="24"/>
                <w:u w:val="single"/>
                <w:lang w:val="en-US" w:eastAsia="zh-CN" w:bidi="ar-SA"/>
              </w:rPr>
              <w:t>控制功能</w:t>
            </w:r>
          </w:p>
        </w:tc>
      </w:tr>
      <w:tr w14:paraId="15132A5E">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51EC2ACA">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上行轿厢超速保护</w:t>
            </w:r>
          </w:p>
        </w:tc>
        <w:tc>
          <w:tcPr>
            <w:tcW w:w="3118" w:type="dxa"/>
            <w:tcBorders>
              <w:top w:val="nil"/>
              <w:left w:val="nil"/>
              <w:bottom w:val="single" w:color="auto" w:sz="4" w:space="0"/>
              <w:right w:val="double" w:color="auto" w:sz="6" w:space="0"/>
            </w:tcBorders>
            <w:shd w:val="clear" w:color="auto" w:fill="auto"/>
            <w:vAlign w:val="center"/>
          </w:tcPr>
          <w:p w14:paraId="339270E8">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轿顶急停开关</w:t>
            </w:r>
          </w:p>
        </w:tc>
        <w:tc>
          <w:tcPr>
            <w:tcW w:w="3402" w:type="dxa"/>
            <w:tcBorders>
              <w:top w:val="nil"/>
              <w:left w:val="nil"/>
              <w:bottom w:val="single" w:color="auto" w:sz="4" w:space="0"/>
              <w:right w:val="double" w:color="auto" w:sz="6" w:space="0"/>
            </w:tcBorders>
            <w:shd w:val="clear" w:color="auto" w:fill="auto"/>
            <w:vAlign w:val="center"/>
          </w:tcPr>
          <w:p w14:paraId="6C127F35">
            <w:pPr>
              <w:rPr>
                <w:rFonts w:hint="eastAsia" w:ascii="宋体" w:hAnsi="宋体" w:eastAsia="宋体" w:cs="宋体"/>
                <w:b/>
                <w:bCs/>
                <w:i/>
                <w:iCs/>
                <w:color w:val="000000"/>
                <w:kern w:val="2"/>
                <w:sz w:val="24"/>
                <w:szCs w:val="24"/>
                <w:u w:val="single"/>
                <w:lang w:val="en-US" w:eastAsia="zh-CN" w:bidi="ar-SA"/>
              </w:rPr>
            </w:pPr>
            <w:r>
              <w:rPr>
                <w:rFonts w:hint="eastAsia" w:ascii="宋体" w:hAnsi="宋体" w:eastAsia="宋体" w:cs="宋体"/>
                <w:color w:val="000000"/>
                <w:kern w:val="2"/>
                <w:sz w:val="24"/>
                <w:szCs w:val="24"/>
                <w:lang w:val="en-US" w:eastAsia="zh-CN" w:bidi="ar-SA"/>
              </w:rPr>
              <w:t>大楼适应功能</w:t>
            </w:r>
          </w:p>
        </w:tc>
      </w:tr>
      <w:tr w14:paraId="7B7DB281">
        <w:tblPrEx>
          <w:tblCellMar>
            <w:top w:w="0" w:type="dxa"/>
            <w:left w:w="108" w:type="dxa"/>
            <w:bottom w:w="0" w:type="dxa"/>
            <w:right w:w="108" w:type="dxa"/>
          </w:tblCellMar>
        </w:tblPrEx>
        <w:trPr>
          <w:trHeight w:val="45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1456E58D">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缓冲器开关</w:t>
            </w:r>
          </w:p>
        </w:tc>
        <w:tc>
          <w:tcPr>
            <w:tcW w:w="3118" w:type="dxa"/>
            <w:tcBorders>
              <w:top w:val="nil"/>
              <w:left w:val="nil"/>
              <w:bottom w:val="single" w:color="auto" w:sz="4" w:space="0"/>
              <w:right w:val="double" w:color="auto" w:sz="6" w:space="0"/>
            </w:tcBorders>
            <w:shd w:val="clear" w:color="auto" w:fill="auto"/>
            <w:vAlign w:val="center"/>
          </w:tcPr>
          <w:p w14:paraId="3CA280A5">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禁止外呼开关</w:t>
            </w:r>
          </w:p>
        </w:tc>
        <w:tc>
          <w:tcPr>
            <w:tcW w:w="3402" w:type="dxa"/>
            <w:tcBorders>
              <w:top w:val="nil"/>
              <w:left w:val="nil"/>
              <w:bottom w:val="single" w:color="auto" w:sz="4" w:space="0"/>
              <w:right w:val="double" w:color="auto" w:sz="6" w:space="0"/>
            </w:tcBorders>
            <w:shd w:val="clear" w:color="auto" w:fill="auto"/>
            <w:vAlign w:val="center"/>
          </w:tcPr>
          <w:p w14:paraId="344C7BDC">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轿厢照明熔丝及轿厢照明电源主开关位置在控制柜内</w:t>
            </w:r>
          </w:p>
        </w:tc>
      </w:tr>
      <w:tr w14:paraId="0363F75C">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68389A9A">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修正运行</w:t>
            </w:r>
          </w:p>
        </w:tc>
        <w:tc>
          <w:tcPr>
            <w:tcW w:w="3118" w:type="dxa"/>
            <w:tcBorders>
              <w:top w:val="nil"/>
              <w:left w:val="nil"/>
              <w:bottom w:val="single" w:color="auto" w:sz="4" w:space="0"/>
              <w:right w:val="double" w:color="auto" w:sz="6" w:space="0"/>
            </w:tcBorders>
            <w:shd w:val="clear" w:color="auto" w:fill="auto"/>
            <w:vAlign w:val="center"/>
          </w:tcPr>
          <w:p w14:paraId="258A7727">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轿厢限速器在井道里</w:t>
            </w:r>
          </w:p>
        </w:tc>
        <w:tc>
          <w:tcPr>
            <w:tcW w:w="3402" w:type="dxa"/>
            <w:tcBorders>
              <w:top w:val="nil"/>
              <w:left w:val="nil"/>
              <w:bottom w:val="single" w:color="auto" w:sz="4" w:space="0"/>
              <w:right w:val="double" w:color="auto" w:sz="6" w:space="0"/>
            </w:tcBorders>
            <w:shd w:val="clear" w:color="auto" w:fill="auto"/>
            <w:vAlign w:val="center"/>
          </w:tcPr>
          <w:p w14:paraId="7580084C">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主熔丝，控制柜</w:t>
            </w:r>
          </w:p>
        </w:tc>
      </w:tr>
      <w:tr w14:paraId="4327F321">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6C311768">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双速度监控</w:t>
            </w:r>
          </w:p>
        </w:tc>
        <w:tc>
          <w:tcPr>
            <w:tcW w:w="3118" w:type="dxa"/>
            <w:tcBorders>
              <w:top w:val="nil"/>
              <w:left w:val="nil"/>
              <w:bottom w:val="single" w:color="auto" w:sz="4" w:space="0"/>
              <w:right w:val="double" w:color="auto" w:sz="6" w:space="0"/>
            </w:tcBorders>
            <w:shd w:val="clear" w:color="auto" w:fill="auto"/>
            <w:vAlign w:val="center"/>
          </w:tcPr>
          <w:p w14:paraId="4A5BEFDE">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限速器试验装置</w:t>
            </w:r>
          </w:p>
        </w:tc>
        <w:tc>
          <w:tcPr>
            <w:tcW w:w="3402" w:type="dxa"/>
            <w:tcBorders>
              <w:top w:val="nil"/>
              <w:left w:val="nil"/>
              <w:bottom w:val="single" w:color="auto" w:sz="4" w:space="0"/>
              <w:right w:val="double" w:color="auto" w:sz="6" w:space="0"/>
            </w:tcBorders>
            <w:shd w:val="clear" w:color="auto" w:fill="auto"/>
            <w:vAlign w:val="center"/>
          </w:tcPr>
          <w:p w14:paraId="09C0402B">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主开关位于控制柜内</w:t>
            </w:r>
          </w:p>
        </w:tc>
      </w:tr>
      <w:tr w14:paraId="5E2CB3B1">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0AD0F05E">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运行时间监控</w:t>
            </w:r>
          </w:p>
        </w:tc>
        <w:tc>
          <w:tcPr>
            <w:tcW w:w="3118" w:type="dxa"/>
            <w:tcBorders>
              <w:top w:val="nil"/>
              <w:left w:val="nil"/>
              <w:bottom w:val="single" w:color="auto" w:sz="4" w:space="0"/>
              <w:right w:val="double" w:color="auto" w:sz="6" w:space="0"/>
            </w:tcBorders>
            <w:shd w:val="clear" w:color="auto" w:fill="auto"/>
            <w:vAlign w:val="center"/>
          </w:tcPr>
          <w:p w14:paraId="1DB2C981">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轿厢限速器张紧块安全触点</w:t>
            </w:r>
          </w:p>
        </w:tc>
        <w:tc>
          <w:tcPr>
            <w:tcW w:w="3402" w:type="dxa"/>
            <w:tcBorders>
              <w:top w:val="nil"/>
              <w:left w:val="nil"/>
              <w:bottom w:val="single" w:color="auto" w:sz="4" w:space="0"/>
              <w:right w:val="double" w:color="auto" w:sz="6" w:space="0"/>
            </w:tcBorders>
            <w:shd w:val="clear" w:color="auto" w:fill="auto"/>
            <w:vAlign w:val="center"/>
          </w:tcPr>
          <w:p w14:paraId="5245406B">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故障电流开关，一个相位用于照明</w:t>
            </w:r>
          </w:p>
        </w:tc>
      </w:tr>
      <w:tr w14:paraId="25D70589">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451CC395">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门区指示灯</w:t>
            </w:r>
          </w:p>
        </w:tc>
        <w:tc>
          <w:tcPr>
            <w:tcW w:w="3118" w:type="dxa"/>
            <w:tcBorders>
              <w:top w:val="nil"/>
              <w:left w:val="nil"/>
              <w:bottom w:val="single" w:color="auto" w:sz="4" w:space="0"/>
              <w:right w:val="double" w:color="auto" w:sz="6" w:space="0"/>
            </w:tcBorders>
            <w:shd w:val="clear" w:color="auto" w:fill="auto"/>
            <w:vAlign w:val="center"/>
          </w:tcPr>
          <w:p w14:paraId="3BE9637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检修运行</w:t>
            </w:r>
          </w:p>
        </w:tc>
        <w:tc>
          <w:tcPr>
            <w:tcW w:w="3402" w:type="dxa"/>
            <w:tcBorders>
              <w:top w:val="nil"/>
              <w:left w:val="nil"/>
              <w:bottom w:val="single" w:color="auto" w:sz="4" w:space="0"/>
              <w:right w:val="double" w:color="auto" w:sz="6" w:space="0"/>
            </w:tcBorders>
            <w:shd w:val="clear" w:color="auto" w:fill="auto"/>
            <w:vAlign w:val="center"/>
          </w:tcPr>
          <w:p w14:paraId="6F46EE09">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优先和特殊服务功能</w:t>
            </w:r>
          </w:p>
        </w:tc>
      </w:tr>
      <w:tr w14:paraId="5E74022F">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5776D100">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轿顶闭锁装置开关</w:t>
            </w:r>
          </w:p>
        </w:tc>
        <w:tc>
          <w:tcPr>
            <w:tcW w:w="3118" w:type="dxa"/>
            <w:tcBorders>
              <w:top w:val="nil"/>
              <w:left w:val="nil"/>
              <w:bottom w:val="single" w:color="auto" w:sz="4" w:space="0"/>
              <w:right w:val="double" w:color="auto" w:sz="6" w:space="0"/>
            </w:tcBorders>
            <w:shd w:val="clear" w:color="auto" w:fill="auto"/>
            <w:vAlign w:val="center"/>
          </w:tcPr>
          <w:p w14:paraId="63A37C0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安全钳触点</w:t>
            </w:r>
          </w:p>
        </w:tc>
        <w:tc>
          <w:tcPr>
            <w:tcW w:w="3402" w:type="dxa"/>
            <w:tcBorders>
              <w:top w:val="nil"/>
              <w:left w:val="nil"/>
              <w:bottom w:val="single" w:color="auto" w:sz="4" w:space="0"/>
              <w:right w:val="double" w:color="auto" w:sz="6" w:space="0"/>
            </w:tcBorders>
            <w:shd w:val="clear" w:color="auto" w:fill="auto"/>
            <w:vAlign w:val="center"/>
          </w:tcPr>
          <w:p w14:paraId="380DB63C">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层站退出服务开关，门关，灯熄灭</w:t>
            </w:r>
          </w:p>
        </w:tc>
      </w:tr>
      <w:tr w14:paraId="2AF61239">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33D8C71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轿厢安全出口触点</w:t>
            </w:r>
          </w:p>
        </w:tc>
        <w:tc>
          <w:tcPr>
            <w:tcW w:w="3118" w:type="dxa"/>
            <w:tcBorders>
              <w:top w:val="nil"/>
              <w:left w:val="nil"/>
              <w:bottom w:val="single" w:color="auto" w:sz="4" w:space="0"/>
              <w:right w:val="double" w:color="auto" w:sz="6" w:space="0"/>
            </w:tcBorders>
            <w:shd w:val="clear" w:color="000000" w:fill="A2BAFB"/>
            <w:vAlign w:val="center"/>
          </w:tcPr>
          <w:p w14:paraId="17E88CEA">
            <w:pPr>
              <w:rPr>
                <w:rFonts w:hint="eastAsia" w:ascii="宋体" w:hAnsi="宋体" w:eastAsia="宋体" w:cs="宋体"/>
                <w:b/>
                <w:bCs/>
                <w:color w:val="000000"/>
                <w:kern w:val="2"/>
                <w:sz w:val="24"/>
                <w:szCs w:val="24"/>
                <w:u w:val="single"/>
                <w:lang w:val="en-US" w:eastAsia="zh-CN" w:bidi="ar-SA"/>
              </w:rPr>
            </w:pPr>
            <w:r>
              <w:rPr>
                <w:rFonts w:hint="eastAsia" w:ascii="宋体" w:hAnsi="宋体" w:eastAsia="宋体" w:cs="宋体"/>
                <w:b/>
                <w:bCs/>
                <w:color w:val="000000"/>
                <w:kern w:val="2"/>
                <w:sz w:val="24"/>
                <w:szCs w:val="24"/>
                <w:u w:val="single"/>
                <w:lang w:val="en-US" w:eastAsia="zh-CN" w:bidi="ar-SA"/>
              </w:rPr>
              <w:t>乘客舒适功能</w:t>
            </w:r>
          </w:p>
        </w:tc>
        <w:tc>
          <w:tcPr>
            <w:tcW w:w="3402" w:type="dxa"/>
            <w:tcBorders>
              <w:top w:val="nil"/>
              <w:left w:val="nil"/>
              <w:bottom w:val="single" w:color="auto" w:sz="4" w:space="0"/>
              <w:right w:val="double" w:color="auto" w:sz="6" w:space="0"/>
            </w:tcBorders>
            <w:shd w:val="clear" w:color="auto" w:fill="auto"/>
            <w:vAlign w:val="center"/>
          </w:tcPr>
          <w:p w14:paraId="482EEE59">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空轿厢分配</w:t>
            </w:r>
          </w:p>
        </w:tc>
      </w:tr>
      <w:tr w14:paraId="5D43E597">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5852EBAC">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马达过热保护</w:t>
            </w:r>
          </w:p>
        </w:tc>
        <w:tc>
          <w:tcPr>
            <w:tcW w:w="3118" w:type="dxa"/>
            <w:tcBorders>
              <w:top w:val="nil"/>
              <w:left w:val="nil"/>
              <w:bottom w:val="single" w:color="auto" w:sz="4" w:space="0"/>
              <w:right w:val="double" w:color="auto" w:sz="6" w:space="0"/>
            </w:tcBorders>
            <w:shd w:val="clear" w:color="auto" w:fill="auto"/>
            <w:vAlign w:val="center"/>
          </w:tcPr>
          <w:p w14:paraId="30AA7C8C">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出入轿厢</w:t>
            </w:r>
          </w:p>
        </w:tc>
        <w:tc>
          <w:tcPr>
            <w:tcW w:w="3402" w:type="dxa"/>
            <w:tcBorders>
              <w:top w:val="nil"/>
              <w:left w:val="nil"/>
              <w:bottom w:val="single" w:color="auto" w:sz="4" w:space="0"/>
              <w:right w:val="double" w:color="auto" w:sz="6" w:space="0"/>
            </w:tcBorders>
            <w:shd w:val="clear" w:color="auto" w:fill="auto"/>
            <w:vAlign w:val="center"/>
          </w:tcPr>
          <w:p w14:paraId="1A1A6399">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主楼层停靠，门关</w:t>
            </w:r>
          </w:p>
        </w:tc>
      </w:tr>
      <w:tr w14:paraId="4C469D7D">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00A537F9">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相位故障检测</w:t>
            </w:r>
          </w:p>
        </w:tc>
        <w:tc>
          <w:tcPr>
            <w:tcW w:w="3118" w:type="dxa"/>
            <w:tcBorders>
              <w:top w:val="nil"/>
              <w:left w:val="nil"/>
              <w:bottom w:val="single" w:color="auto" w:sz="4" w:space="0"/>
              <w:right w:val="double" w:color="auto" w:sz="6" w:space="0"/>
            </w:tcBorders>
            <w:shd w:val="clear" w:color="auto" w:fill="auto"/>
            <w:vAlign w:val="center"/>
          </w:tcPr>
          <w:p w14:paraId="7EA2B75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精确再平层，自动</w:t>
            </w:r>
          </w:p>
        </w:tc>
        <w:tc>
          <w:tcPr>
            <w:tcW w:w="3402" w:type="dxa"/>
            <w:tcBorders>
              <w:top w:val="nil"/>
              <w:left w:val="nil"/>
              <w:bottom w:val="single" w:color="auto" w:sz="4" w:space="0"/>
              <w:right w:val="double" w:color="auto" w:sz="6" w:space="0"/>
            </w:tcBorders>
            <w:shd w:val="clear" w:color="auto" w:fill="auto"/>
            <w:vAlign w:val="center"/>
          </w:tcPr>
          <w:p w14:paraId="468894A1">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优化运载流量功能</w:t>
            </w:r>
          </w:p>
        </w:tc>
      </w:tr>
      <w:tr w14:paraId="42D8342F">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666E4B2C">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救助运行功能</w:t>
            </w:r>
          </w:p>
        </w:tc>
        <w:tc>
          <w:tcPr>
            <w:tcW w:w="3118" w:type="dxa"/>
            <w:tcBorders>
              <w:top w:val="nil"/>
              <w:left w:val="nil"/>
              <w:bottom w:val="single" w:color="auto" w:sz="4" w:space="0"/>
              <w:right w:val="double" w:color="auto" w:sz="6" w:space="0"/>
            </w:tcBorders>
            <w:shd w:val="clear" w:color="auto" w:fill="auto"/>
            <w:vAlign w:val="center"/>
          </w:tcPr>
          <w:p w14:paraId="6E23DB46">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强制关门</w:t>
            </w:r>
          </w:p>
        </w:tc>
        <w:tc>
          <w:tcPr>
            <w:tcW w:w="3402" w:type="dxa"/>
            <w:tcBorders>
              <w:top w:val="nil"/>
              <w:left w:val="nil"/>
              <w:bottom w:val="single" w:color="auto" w:sz="4" w:space="0"/>
              <w:right w:val="double" w:color="auto" w:sz="6" w:space="0"/>
            </w:tcBorders>
            <w:shd w:val="clear" w:color="auto" w:fill="auto"/>
            <w:vAlign w:val="center"/>
          </w:tcPr>
          <w:p w14:paraId="5DC6CCD0">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下行高峰服务</w:t>
            </w:r>
          </w:p>
        </w:tc>
      </w:tr>
      <w:tr w14:paraId="7149EA1F">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25DFC70B">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轿厢意外移动冗余监测和制动器</w:t>
            </w:r>
          </w:p>
        </w:tc>
        <w:tc>
          <w:tcPr>
            <w:tcW w:w="3118" w:type="dxa"/>
            <w:tcBorders>
              <w:top w:val="nil"/>
              <w:left w:val="nil"/>
              <w:bottom w:val="single" w:color="auto" w:sz="4" w:space="0"/>
              <w:right w:val="double" w:color="auto" w:sz="6" w:space="0"/>
            </w:tcBorders>
            <w:shd w:val="clear" w:color="auto" w:fill="auto"/>
            <w:vAlign w:val="center"/>
          </w:tcPr>
          <w:p w14:paraId="0BD48306">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关门按钮</w:t>
            </w:r>
          </w:p>
        </w:tc>
        <w:tc>
          <w:tcPr>
            <w:tcW w:w="3402" w:type="dxa"/>
            <w:tcBorders>
              <w:top w:val="nil"/>
              <w:left w:val="nil"/>
              <w:bottom w:val="single" w:color="auto" w:sz="4" w:space="0"/>
              <w:right w:val="double" w:color="auto" w:sz="6" w:space="0"/>
            </w:tcBorders>
            <w:shd w:val="clear" w:color="auto" w:fill="auto"/>
            <w:vAlign w:val="center"/>
          </w:tcPr>
          <w:p w14:paraId="5B852148">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上下行高峰服务</w:t>
            </w:r>
          </w:p>
        </w:tc>
      </w:tr>
      <w:tr w14:paraId="2C15245A">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47EE0B51">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检修盒，位于轿顶</w:t>
            </w:r>
          </w:p>
        </w:tc>
        <w:tc>
          <w:tcPr>
            <w:tcW w:w="3118" w:type="dxa"/>
            <w:tcBorders>
              <w:top w:val="nil"/>
              <w:left w:val="nil"/>
              <w:bottom w:val="single" w:color="auto" w:sz="4" w:space="0"/>
              <w:right w:val="double" w:color="auto" w:sz="6" w:space="0"/>
            </w:tcBorders>
            <w:shd w:val="clear" w:color="auto" w:fill="auto"/>
            <w:vAlign w:val="center"/>
          </w:tcPr>
          <w:p w14:paraId="30C3F011">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开门按钮</w:t>
            </w:r>
          </w:p>
        </w:tc>
        <w:tc>
          <w:tcPr>
            <w:tcW w:w="3402" w:type="dxa"/>
            <w:tcBorders>
              <w:top w:val="nil"/>
              <w:left w:val="nil"/>
              <w:bottom w:val="single" w:color="auto" w:sz="4" w:space="0"/>
              <w:right w:val="double" w:color="auto" w:sz="6" w:space="0"/>
            </w:tcBorders>
            <w:shd w:val="clear" w:color="auto" w:fill="auto"/>
            <w:vAlign w:val="center"/>
          </w:tcPr>
          <w:p w14:paraId="4075F577">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上行高峰服务</w:t>
            </w:r>
          </w:p>
        </w:tc>
      </w:tr>
      <w:tr w14:paraId="512BE2BA">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7826BD6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轿门机械锁</w:t>
            </w:r>
          </w:p>
        </w:tc>
        <w:tc>
          <w:tcPr>
            <w:tcW w:w="3118" w:type="dxa"/>
            <w:tcBorders>
              <w:top w:val="nil"/>
              <w:left w:val="nil"/>
              <w:bottom w:val="single" w:color="auto" w:sz="4" w:space="0"/>
              <w:right w:val="double" w:color="auto" w:sz="6" w:space="0"/>
            </w:tcBorders>
            <w:shd w:val="clear" w:color="auto" w:fill="auto"/>
            <w:vAlign w:val="center"/>
          </w:tcPr>
          <w:p w14:paraId="3F636FAA">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提前开门</w:t>
            </w:r>
          </w:p>
        </w:tc>
        <w:tc>
          <w:tcPr>
            <w:tcW w:w="3402" w:type="dxa"/>
            <w:tcBorders>
              <w:top w:val="nil"/>
              <w:left w:val="nil"/>
              <w:bottom w:val="single" w:color="auto" w:sz="4" w:space="0"/>
              <w:right w:val="double" w:color="auto" w:sz="6" w:space="0"/>
            </w:tcBorders>
            <w:shd w:val="clear" w:color="auto" w:fill="auto"/>
            <w:vAlign w:val="center"/>
          </w:tcPr>
          <w:p w14:paraId="42544FC7">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满载直驶</w:t>
            </w:r>
          </w:p>
        </w:tc>
      </w:tr>
      <w:tr w14:paraId="660AF7EB">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7EBD7B78">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紧急备用电源运行</w:t>
            </w:r>
          </w:p>
        </w:tc>
        <w:tc>
          <w:tcPr>
            <w:tcW w:w="3118" w:type="dxa"/>
            <w:tcBorders>
              <w:top w:val="nil"/>
              <w:left w:val="nil"/>
              <w:bottom w:val="single" w:color="auto" w:sz="4" w:space="0"/>
              <w:right w:val="double" w:color="auto" w:sz="6" w:space="0"/>
            </w:tcBorders>
            <w:shd w:val="clear" w:color="auto" w:fill="auto"/>
            <w:vAlign w:val="center"/>
          </w:tcPr>
          <w:p w14:paraId="37BDCD12">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外呼重新开门</w:t>
            </w:r>
          </w:p>
        </w:tc>
        <w:tc>
          <w:tcPr>
            <w:tcW w:w="3402" w:type="dxa"/>
            <w:tcBorders>
              <w:top w:val="nil"/>
              <w:left w:val="nil"/>
              <w:bottom w:val="single" w:color="auto" w:sz="4" w:space="0"/>
              <w:right w:val="double" w:color="auto" w:sz="6" w:space="0"/>
            </w:tcBorders>
            <w:shd w:val="clear" w:color="000000" w:fill="A2BAFB"/>
            <w:vAlign w:val="center"/>
          </w:tcPr>
          <w:p w14:paraId="656606FB">
            <w:pPr>
              <w:rPr>
                <w:rFonts w:hint="eastAsia" w:ascii="宋体" w:hAnsi="宋体" w:eastAsia="宋体" w:cs="宋体"/>
                <w:b/>
                <w:bCs/>
                <w:color w:val="000000"/>
                <w:kern w:val="2"/>
                <w:sz w:val="24"/>
                <w:szCs w:val="24"/>
                <w:u w:val="single"/>
                <w:lang w:val="en-US" w:eastAsia="zh-CN" w:bidi="ar-SA"/>
              </w:rPr>
            </w:pPr>
            <w:r>
              <w:rPr>
                <w:rFonts w:hint="eastAsia" w:ascii="宋体" w:hAnsi="宋体" w:eastAsia="宋体" w:cs="宋体"/>
                <w:b/>
                <w:bCs/>
                <w:color w:val="000000"/>
                <w:kern w:val="2"/>
                <w:sz w:val="24"/>
                <w:szCs w:val="24"/>
                <w:u w:val="single"/>
                <w:lang w:val="en-US" w:eastAsia="zh-CN" w:bidi="ar-SA"/>
              </w:rPr>
              <w:t>信息功能</w:t>
            </w:r>
          </w:p>
        </w:tc>
      </w:tr>
      <w:tr w14:paraId="29FF0A5A">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7BF374C4">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同步运行</w:t>
            </w:r>
          </w:p>
        </w:tc>
        <w:tc>
          <w:tcPr>
            <w:tcW w:w="3118" w:type="dxa"/>
            <w:tcBorders>
              <w:top w:val="nil"/>
              <w:left w:val="nil"/>
              <w:bottom w:val="single" w:color="auto" w:sz="4" w:space="0"/>
              <w:right w:val="double" w:color="auto" w:sz="6" w:space="0"/>
            </w:tcBorders>
            <w:shd w:val="clear" w:color="auto" w:fill="auto"/>
            <w:vAlign w:val="center"/>
          </w:tcPr>
          <w:p w14:paraId="701E3F66">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光幕保护，自动重开门功能</w:t>
            </w:r>
          </w:p>
        </w:tc>
        <w:tc>
          <w:tcPr>
            <w:tcW w:w="3402" w:type="dxa"/>
            <w:tcBorders>
              <w:top w:val="nil"/>
              <w:left w:val="nil"/>
              <w:bottom w:val="single" w:color="auto" w:sz="4" w:space="0"/>
              <w:right w:val="double" w:color="auto" w:sz="6" w:space="0"/>
            </w:tcBorders>
            <w:shd w:val="clear" w:color="auto" w:fill="auto"/>
            <w:vAlign w:val="center"/>
          </w:tcPr>
          <w:p w14:paraId="225AFFFA">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厅外乘客信息显示</w:t>
            </w:r>
          </w:p>
        </w:tc>
      </w:tr>
      <w:tr w14:paraId="58AFD014">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1B3A379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紧急轿厢照明，独立照明</w:t>
            </w:r>
          </w:p>
        </w:tc>
        <w:tc>
          <w:tcPr>
            <w:tcW w:w="3118" w:type="dxa"/>
            <w:tcBorders>
              <w:top w:val="nil"/>
              <w:left w:val="nil"/>
              <w:bottom w:val="single" w:color="auto" w:sz="4" w:space="0"/>
              <w:right w:val="double" w:color="auto" w:sz="6" w:space="0"/>
            </w:tcBorders>
            <w:shd w:val="clear" w:color="auto" w:fill="auto"/>
            <w:vAlign w:val="center"/>
          </w:tcPr>
          <w:p w14:paraId="6AB174D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新内呼快速关门</w:t>
            </w:r>
          </w:p>
        </w:tc>
        <w:tc>
          <w:tcPr>
            <w:tcW w:w="3402" w:type="dxa"/>
            <w:tcBorders>
              <w:top w:val="nil"/>
              <w:left w:val="nil"/>
              <w:bottom w:val="single" w:color="auto" w:sz="4" w:space="0"/>
              <w:right w:val="double" w:color="auto" w:sz="6" w:space="0"/>
            </w:tcBorders>
            <w:shd w:val="clear" w:color="auto" w:fill="auto"/>
            <w:vAlign w:val="center"/>
          </w:tcPr>
          <w:p w14:paraId="2AA08081">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外呼登录指示灯</w:t>
            </w:r>
          </w:p>
        </w:tc>
      </w:tr>
      <w:tr w14:paraId="7DCD2DFC">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3CD96D9C">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紧急电池供电(供紧急照明、警铃)</w:t>
            </w:r>
          </w:p>
        </w:tc>
        <w:tc>
          <w:tcPr>
            <w:tcW w:w="3118" w:type="dxa"/>
            <w:tcBorders>
              <w:top w:val="nil"/>
              <w:left w:val="nil"/>
              <w:bottom w:val="single" w:color="auto" w:sz="4" w:space="0"/>
              <w:right w:val="double" w:color="auto" w:sz="6" w:space="0"/>
            </w:tcBorders>
            <w:shd w:val="clear" w:color="auto" w:fill="auto"/>
            <w:vAlign w:val="center"/>
          </w:tcPr>
          <w:p w14:paraId="665D0614">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滥用、误用保护</w:t>
            </w:r>
          </w:p>
        </w:tc>
        <w:tc>
          <w:tcPr>
            <w:tcW w:w="3402" w:type="dxa"/>
            <w:tcBorders>
              <w:top w:val="nil"/>
              <w:left w:val="nil"/>
              <w:bottom w:val="single" w:color="auto" w:sz="4" w:space="0"/>
              <w:right w:val="double" w:color="auto" w:sz="6" w:space="0"/>
            </w:tcBorders>
            <w:shd w:val="clear" w:color="auto" w:fill="auto"/>
            <w:vAlign w:val="center"/>
          </w:tcPr>
          <w:p w14:paraId="3C22B682">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轿内信息显示</w:t>
            </w:r>
          </w:p>
        </w:tc>
      </w:tr>
      <w:tr w14:paraId="73F759AE">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091B667F">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紧急通讯</w:t>
            </w:r>
          </w:p>
        </w:tc>
        <w:tc>
          <w:tcPr>
            <w:tcW w:w="3118" w:type="dxa"/>
            <w:tcBorders>
              <w:top w:val="nil"/>
              <w:left w:val="nil"/>
              <w:bottom w:val="single" w:color="auto" w:sz="4" w:space="0"/>
              <w:right w:val="double" w:color="auto" w:sz="6" w:space="0"/>
            </w:tcBorders>
            <w:shd w:val="clear" w:color="auto" w:fill="auto"/>
            <w:vAlign w:val="center"/>
          </w:tcPr>
          <w:p w14:paraId="6577AEC8">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外呼互锁</w:t>
            </w:r>
          </w:p>
        </w:tc>
        <w:tc>
          <w:tcPr>
            <w:tcW w:w="3402" w:type="dxa"/>
            <w:tcBorders>
              <w:top w:val="nil"/>
              <w:left w:val="nil"/>
              <w:bottom w:val="single" w:color="auto" w:sz="4" w:space="0"/>
              <w:right w:val="double" w:color="auto" w:sz="6" w:space="0"/>
            </w:tcBorders>
            <w:shd w:val="clear" w:color="auto" w:fill="auto"/>
            <w:vAlign w:val="center"/>
          </w:tcPr>
          <w:p w14:paraId="281918C0">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内呼登记指示灯</w:t>
            </w:r>
          </w:p>
        </w:tc>
      </w:tr>
      <w:tr w14:paraId="570549EB">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36433214">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警铃，轿顶</w:t>
            </w:r>
          </w:p>
        </w:tc>
        <w:tc>
          <w:tcPr>
            <w:tcW w:w="3118" w:type="dxa"/>
            <w:tcBorders>
              <w:top w:val="nil"/>
              <w:left w:val="nil"/>
              <w:bottom w:val="single" w:color="auto" w:sz="4" w:space="0"/>
              <w:right w:val="double" w:color="auto" w:sz="6" w:space="0"/>
            </w:tcBorders>
            <w:shd w:val="clear" w:color="auto" w:fill="auto"/>
            <w:vAlign w:val="center"/>
          </w:tcPr>
          <w:p w14:paraId="1C8953B6">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按钮粘滞监察</w:t>
            </w:r>
          </w:p>
        </w:tc>
        <w:tc>
          <w:tcPr>
            <w:tcW w:w="3402" w:type="dxa"/>
            <w:tcBorders>
              <w:top w:val="nil"/>
              <w:left w:val="nil"/>
              <w:bottom w:val="single" w:color="auto" w:sz="4" w:space="0"/>
              <w:right w:val="double" w:color="auto" w:sz="6" w:space="0"/>
            </w:tcBorders>
            <w:shd w:val="clear" w:color="auto" w:fill="auto"/>
            <w:vAlign w:val="center"/>
          </w:tcPr>
          <w:p w14:paraId="73937D4B">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轿内轿厢位置指示</w:t>
            </w:r>
          </w:p>
        </w:tc>
      </w:tr>
      <w:tr w14:paraId="5C905B64">
        <w:tblPrEx>
          <w:tblCellMar>
            <w:top w:w="0" w:type="dxa"/>
            <w:left w:w="108" w:type="dxa"/>
            <w:bottom w:w="0" w:type="dxa"/>
            <w:right w:w="108" w:type="dxa"/>
          </w:tblCellMar>
        </w:tblPrEx>
        <w:trPr>
          <w:trHeight w:val="300" w:hRule="atLeast"/>
        </w:trPr>
        <w:tc>
          <w:tcPr>
            <w:tcW w:w="3238" w:type="dxa"/>
            <w:tcBorders>
              <w:top w:val="nil"/>
              <w:left w:val="double" w:color="auto" w:sz="6" w:space="0"/>
              <w:bottom w:val="double" w:color="auto" w:sz="6" w:space="0"/>
              <w:right w:val="double" w:color="auto" w:sz="6" w:space="0"/>
            </w:tcBorders>
            <w:shd w:val="clear" w:color="auto" w:fill="auto"/>
            <w:vAlign w:val="center"/>
          </w:tcPr>
          <w:p w14:paraId="2EFE2BA9">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五方通话</w:t>
            </w:r>
          </w:p>
        </w:tc>
        <w:tc>
          <w:tcPr>
            <w:tcW w:w="3118" w:type="dxa"/>
            <w:tcBorders>
              <w:top w:val="nil"/>
              <w:left w:val="nil"/>
              <w:bottom w:val="double" w:color="auto" w:sz="6" w:space="0"/>
              <w:right w:val="double" w:color="auto" w:sz="6" w:space="0"/>
            </w:tcBorders>
            <w:shd w:val="clear" w:color="auto" w:fill="auto"/>
            <w:vAlign w:val="center"/>
          </w:tcPr>
          <w:p w14:paraId="26764F4E">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取消轿厢虚假召唤</w:t>
            </w:r>
          </w:p>
        </w:tc>
        <w:tc>
          <w:tcPr>
            <w:tcW w:w="3402" w:type="dxa"/>
            <w:tcBorders>
              <w:top w:val="nil"/>
              <w:left w:val="nil"/>
              <w:bottom w:val="double" w:color="auto" w:sz="6" w:space="0"/>
              <w:right w:val="double" w:color="auto" w:sz="6" w:space="0"/>
            </w:tcBorders>
            <w:shd w:val="clear" w:color="auto" w:fill="auto"/>
            <w:vAlign w:val="center"/>
          </w:tcPr>
          <w:p w14:paraId="3D379C12">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轿内运行方向指示</w:t>
            </w:r>
          </w:p>
        </w:tc>
      </w:tr>
      <w:tr w14:paraId="410D36AC">
        <w:tblPrEx>
          <w:tblCellMar>
            <w:top w:w="0" w:type="dxa"/>
            <w:left w:w="108" w:type="dxa"/>
            <w:bottom w:w="0" w:type="dxa"/>
            <w:right w:w="108" w:type="dxa"/>
          </w:tblCellMar>
        </w:tblPrEx>
        <w:trPr>
          <w:trHeight w:val="300" w:hRule="atLeast"/>
        </w:trPr>
        <w:tc>
          <w:tcPr>
            <w:tcW w:w="3238" w:type="dxa"/>
            <w:tcBorders>
              <w:top w:val="double" w:color="auto" w:sz="6" w:space="0"/>
              <w:left w:val="double" w:color="auto" w:sz="6" w:space="0"/>
              <w:bottom w:val="double" w:color="auto" w:sz="6" w:space="0"/>
              <w:right w:val="double" w:color="auto" w:sz="6" w:space="0"/>
            </w:tcBorders>
            <w:shd w:val="clear" w:color="auto" w:fill="auto"/>
            <w:vAlign w:val="center"/>
          </w:tcPr>
          <w:p w14:paraId="26468836">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其他安全及维修服务</w:t>
            </w:r>
          </w:p>
        </w:tc>
        <w:tc>
          <w:tcPr>
            <w:tcW w:w="3118" w:type="dxa"/>
            <w:tcBorders>
              <w:top w:val="double" w:color="auto" w:sz="6" w:space="0"/>
              <w:left w:val="double" w:color="auto" w:sz="6" w:space="0"/>
              <w:bottom w:val="double" w:color="auto" w:sz="6" w:space="0"/>
              <w:right w:val="double" w:color="auto" w:sz="6" w:space="0"/>
            </w:tcBorders>
            <w:shd w:val="clear" w:color="auto" w:fill="auto"/>
            <w:vAlign w:val="center"/>
          </w:tcPr>
          <w:p w14:paraId="366A13A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反向内呼</w:t>
            </w:r>
          </w:p>
        </w:tc>
        <w:tc>
          <w:tcPr>
            <w:tcW w:w="3402" w:type="dxa"/>
            <w:tcBorders>
              <w:top w:val="double" w:color="auto" w:sz="6" w:space="0"/>
              <w:left w:val="double" w:color="auto" w:sz="6" w:space="0"/>
              <w:bottom w:val="double" w:color="auto" w:sz="6" w:space="0"/>
              <w:right w:val="double" w:color="auto" w:sz="6" w:space="0"/>
            </w:tcBorders>
            <w:shd w:val="clear" w:color="auto" w:fill="auto"/>
            <w:vAlign w:val="center"/>
          </w:tcPr>
          <w:p w14:paraId="03BEA8CA">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超载功能，指示灯持续亮</w:t>
            </w:r>
          </w:p>
        </w:tc>
      </w:tr>
      <w:tr w14:paraId="5AA68964">
        <w:tblPrEx>
          <w:tblCellMar>
            <w:top w:w="0" w:type="dxa"/>
            <w:left w:w="108" w:type="dxa"/>
            <w:bottom w:w="0" w:type="dxa"/>
            <w:right w:w="108" w:type="dxa"/>
          </w:tblCellMar>
        </w:tblPrEx>
        <w:trPr>
          <w:trHeight w:val="300" w:hRule="atLeast"/>
        </w:trPr>
        <w:tc>
          <w:tcPr>
            <w:tcW w:w="3238" w:type="dxa"/>
            <w:tcBorders>
              <w:top w:val="double" w:color="auto" w:sz="6" w:space="0"/>
              <w:left w:val="double" w:color="auto" w:sz="6" w:space="0"/>
              <w:bottom w:val="single" w:color="auto" w:sz="4" w:space="0"/>
              <w:right w:val="double" w:color="auto" w:sz="6" w:space="0"/>
            </w:tcBorders>
            <w:shd w:val="clear" w:color="auto" w:fill="auto"/>
            <w:vAlign w:val="center"/>
          </w:tcPr>
          <w:p w14:paraId="01DD8139">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维修用开门按钮</w:t>
            </w:r>
          </w:p>
        </w:tc>
        <w:tc>
          <w:tcPr>
            <w:tcW w:w="3118" w:type="dxa"/>
            <w:tcBorders>
              <w:top w:val="double" w:color="auto" w:sz="6" w:space="0"/>
              <w:left w:val="nil"/>
              <w:bottom w:val="single" w:color="auto" w:sz="4" w:space="0"/>
              <w:right w:val="double" w:color="auto" w:sz="6" w:space="0"/>
            </w:tcBorders>
            <w:shd w:val="clear" w:color="auto" w:fill="auto"/>
            <w:vAlign w:val="center"/>
          </w:tcPr>
          <w:p w14:paraId="17B48FFF">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运行舒适度</w:t>
            </w:r>
          </w:p>
        </w:tc>
        <w:tc>
          <w:tcPr>
            <w:tcW w:w="3402" w:type="dxa"/>
            <w:tcBorders>
              <w:top w:val="double" w:color="auto" w:sz="6" w:space="0"/>
              <w:left w:val="nil"/>
              <w:bottom w:val="single" w:color="auto" w:sz="4" w:space="0"/>
              <w:right w:val="double" w:color="auto" w:sz="6" w:space="0"/>
            </w:tcBorders>
            <w:shd w:val="clear" w:color="auto" w:fill="auto"/>
            <w:vAlign w:val="center"/>
          </w:tcPr>
          <w:p w14:paraId="097CA843">
            <w:pPr>
              <w:rPr>
                <w:rFonts w:hint="eastAsia" w:ascii="宋体" w:hAnsi="宋体" w:eastAsia="宋体" w:cs="宋体"/>
                <w:b/>
                <w:bCs/>
                <w:i/>
                <w:iCs/>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控制柜内信息显示</w:t>
            </w:r>
          </w:p>
        </w:tc>
      </w:tr>
      <w:tr w14:paraId="6BF10763">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3B36F708">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机房内呼，所有楼层</w:t>
            </w:r>
          </w:p>
        </w:tc>
        <w:tc>
          <w:tcPr>
            <w:tcW w:w="3118" w:type="dxa"/>
            <w:tcBorders>
              <w:top w:val="nil"/>
              <w:left w:val="nil"/>
              <w:bottom w:val="single" w:color="auto" w:sz="4" w:space="0"/>
              <w:right w:val="double" w:color="auto" w:sz="6" w:space="0"/>
            </w:tcBorders>
            <w:shd w:val="clear" w:color="auto" w:fill="auto"/>
            <w:vAlign w:val="center"/>
          </w:tcPr>
          <w:p w14:paraId="317ECDB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轿内照明监控</w:t>
            </w:r>
          </w:p>
        </w:tc>
        <w:tc>
          <w:tcPr>
            <w:tcW w:w="3402" w:type="dxa"/>
            <w:tcBorders>
              <w:top w:val="nil"/>
              <w:left w:val="nil"/>
              <w:bottom w:val="single" w:color="auto" w:sz="4" w:space="0"/>
              <w:right w:val="double" w:color="auto" w:sz="6" w:space="0"/>
            </w:tcBorders>
            <w:shd w:val="clear" w:color="auto" w:fill="auto"/>
            <w:vAlign w:val="center"/>
          </w:tcPr>
          <w:p w14:paraId="39C5569E">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轿厢位置指示-控制柜内</w:t>
            </w:r>
          </w:p>
        </w:tc>
      </w:tr>
      <w:tr w14:paraId="4853130A">
        <w:tblPrEx>
          <w:tblCellMar>
            <w:top w:w="0" w:type="dxa"/>
            <w:left w:w="108" w:type="dxa"/>
            <w:bottom w:w="0" w:type="dxa"/>
            <w:right w:w="108" w:type="dxa"/>
          </w:tblCellMar>
        </w:tblPrEx>
        <w:trPr>
          <w:trHeight w:val="300" w:hRule="atLeast"/>
        </w:trPr>
        <w:tc>
          <w:tcPr>
            <w:tcW w:w="3238" w:type="dxa"/>
            <w:tcBorders>
              <w:top w:val="nil"/>
              <w:left w:val="double" w:color="auto" w:sz="6" w:space="0"/>
              <w:bottom w:val="single" w:color="auto" w:sz="4" w:space="0"/>
              <w:right w:val="double" w:color="auto" w:sz="6" w:space="0"/>
            </w:tcBorders>
            <w:shd w:val="clear" w:color="auto" w:fill="auto"/>
            <w:vAlign w:val="center"/>
          </w:tcPr>
          <w:p w14:paraId="38417308">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轿门触点</w:t>
            </w:r>
          </w:p>
        </w:tc>
        <w:tc>
          <w:tcPr>
            <w:tcW w:w="3118" w:type="dxa"/>
            <w:tcBorders>
              <w:top w:val="nil"/>
              <w:left w:val="nil"/>
              <w:bottom w:val="single" w:color="auto" w:sz="4" w:space="0"/>
              <w:right w:val="double" w:color="auto" w:sz="6" w:space="0"/>
            </w:tcBorders>
            <w:shd w:val="clear" w:color="auto" w:fill="auto"/>
            <w:vAlign w:val="center"/>
          </w:tcPr>
          <w:p w14:paraId="766D312A">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轿厢称重装置</w:t>
            </w:r>
          </w:p>
        </w:tc>
        <w:tc>
          <w:tcPr>
            <w:tcW w:w="3402" w:type="dxa"/>
            <w:tcBorders>
              <w:top w:val="nil"/>
              <w:left w:val="nil"/>
              <w:bottom w:val="single" w:color="auto" w:sz="4" w:space="0"/>
              <w:right w:val="double" w:color="auto" w:sz="6" w:space="0"/>
            </w:tcBorders>
            <w:shd w:val="clear" w:color="auto" w:fill="auto"/>
            <w:vAlign w:val="center"/>
          </w:tcPr>
          <w:p w14:paraId="29A6493F">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起动计数器，断电不丢失</w:t>
            </w:r>
          </w:p>
        </w:tc>
      </w:tr>
      <w:tr w14:paraId="26E12402">
        <w:tblPrEx>
          <w:tblCellMar>
            <w:top w:w="0" w:type="dxa"/>
            <w:left w:w="108" w:type="dxa"/>
            <w:bottom w:w="0" w:type="dxa"/>
            <w:right w:w="108" w:type="dxa"/>
          </w:tblCellMar>
        </w:tblPrEx>
        <w:trPr>
          <w:trHeight w:val="315" w:hRule="atLeast"/>
        </w:trPr>
        <w:tc>
          <w:tcPr>
            <w:tcW w:w="3238" w:type="dxa"/>
            <w:tcBorders>
              <w:top w:val="single" w:color="auto" w:sz="4" w:space="0"/>
              <w:left w:val="double" w:color="auto" w:sz="6" w:space="0"/>
              <w:bottom w:val="double" w:color="auto" w:sz="4" w:space="0"/>
              <w:right w:val="double" w:color="auto" w:sz="6" w:space="0"/>
            </w:tcBorders>
            <w:shd w:val="clear" w:color="auto" w:fill="auto"/>
            <w:vAlign w:val="center"/>
          </w:tcPr>
          <w:p w14:paraId="32C16C95">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轿门限位开关</w:t>
            </w:r>
          </w:p>
        </w:tc>
        <w:tc>
          <w:tcPr>
            <w:tcW w:w="3118" w:type="dxa"/>
            <w:tcBorders>
              <w:top w:val="single" w:color="auto" w:sz="4" w:space="0"/>
              <w:left w:val="nil"/>
              <w:bottom w:val="double" w:color="auto" w:sz="4" w:space="0"/>
              <w:right w:val="double" w:color="auto" w:sz="6" w:space="0"/>
            </w:tcBorders>
            <w:shd w:val="clear" w:color="auto" w:fill="auto"/>
            <w:vAlign w:val="center"/>
          </w:tcPr>
          <w:p w14:paraId="05822F73">
            <w:p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轿厢通风自动控制</w:t>
            </w:r>
          </w:p>
        </w:tc>
        <w:tc>
          <w:tcPr>
            <w:tcW w:w="3402" w:type="dxa"/>
            <w:tcBorders>
              <w:top w:val="single" w:color="auto" w:sz="4" w:space="0"/>
              <w:left w:val="nil"/>
              <w:bottom w:val="double" w:color="auto" w:sz="4" w:space="0"/>
              <w:right w:val="double" w:color="auto" w:sz="4" w:space="0"/>
            </w:tcBorders>
            <w:shd w:val="clear" w:color="000000" w:fill="FFFFFF"/>
            <w:noWrap/>
            <w:vAlign w:val="bottom"/>
          </w:tcPr>
          <w:p w14:paraId="05BA127C">
            <w:pPr>
              <w:rPr>
                <w:rFonts w:hint="eastAsia" w:ascii="宋体" w:hAnsi="宋体" w:eastAsia="宋体" w:cs="宋体"/>
                <w:color w:val="141414"/>
                <w:kern w:val="2"/>
                <w:sz w:val="24"/>
                <w:szCs w:val="24"/>
                <w:lang w:val="en-US" w:eastAsia="zh-CN" w:bidi="ar-SA"/>
              </w:rPr>
            </w:pPr>
            <w:r>
              <w:rPr>
                <w:rFonts w:hint="eastAsia" w:ascii="宋体" w:hAnsi="宋体" w:eastAsia="宋体" w:cs="宋体"/>
                <w:color w:val="141414"/>
                <w:kern w:val="2"/>
                <w:sz w:val="24"/>
                <w:szCs w:val="24"/>
                <w:lang w:val="en-US" w:eastAsia="zh-CN" w:bidi="ar-SA"/>
              </w:rPr>
              <w:t>　</w:t>
            </w:r>
          </w:p>
        </w:tc>
      </w:tr>
    </w:tbl>
    <w:p w14:paraId="509B030B">
      <w:pPr>
        <w:spacing w:before="0" w:after="0" w:line="560" w:lineRule="exact"/>
        <w:jc w:val="both"/>
        <w:rPr>
          <w:rFonts w:hint="eastAsia" w:ascii="宋体" w:hAnsi="宋体" w:eastAsia="宋体" w:cs="宋体"/>
          <w:b/>
          <w:bCs/>
          <w:sz w:val="28"/>
          <w:szCs w:val="28"/>
          <w:highlight w:val="none"/>
        </w:rPr>
      </w:pPr>
    </w:p>
    <w:p w14:paraId="42AD8F6B">
      <w:pPr>
        <w:spacing w:before="0" w:after="0" w:line="560" w:lineRule="exact"/>
        <w:jc w:val="center"/>
        <w:rPr>
          <w:rFonts w:hint="eastAsia" w:ascii="宋体" w:hAnsi="宋体" w:eastAsia="宋体" w:cs="宋体"/>
          <w:b/>
          <w:bCs/>
          <w:sz w:val="28"/>
          <w:szCs w:val="28"/>
          <w:highlight w:val="none"/>
        </w:rPr>
      </w:pPr>
    </w:p>
    <w:p w14:paraId="44826FB2">
      <w:pPr>
        <w:spacing w:before="0" w:after="0" w:line="560" w:lineRule="exact"/>
        <w:jc w:val="center"/>
        <w:rPr>
          <w:rFonts w:hint="eastAsia" w:ascii="宋体" w:hAnsi="宋体" w:eastAsia="宋体" w:cs="宋体"/>
          <w:b/>
          <w:bCs/>
          <w:sz w:val="28"/>
          <w:szCs w:val="28"/>
          <w:highlight w:val="none"/>
        </w:rPr>
      </w:pPr>
    </w:p>
    <w:p w14:paraId="374D2ADF">
      <w:pPr>
        <w:spacing w:before="0" w:after="0" w:line="560" w:lineRule="exact"/>
        <w:jc w:val="center"/>
        <w:rPr>
          <w:rFonts w:hint="eastAsia" w:ascii="宋体" w:hAnsi="宋体" w:eastAsia="宋体" w:cs="宋体"/>
          <w:b/>
          <w:bCs/>
          <w:sz w:val="28"/>
          <w:szCs w:val="28"/>
          <w:highlight w:val="none"/>
        </w:rPr>
      </w:pPr>
    </w:p>
    <w:p w14:paraId="5F437370">
      <w:pPr>
        <w:spacing w:before="0" w:after="0" w:line="560" w:lineRule="exact"/>
        <w:jc w:val="center"/>
        <w:rPr>
          <w:rFonts w:hint="eastAsia" w:ascii="宋体" w:hAnsi="宋体" w:eastAsia="宋体" w:cs="宋体"/>
          <w:b/>
          <w:bCs/>
          <w:sz w:val="28"/>
          <w:szCs w:val="28"/>
          <w:highlight w:val="none"/>
        </w:rPr>
      </w:pPr>
    </w:p>
    <w:p w14:paraId="533573C6">
      <w:pPr>
        <w:spacing w:before="0" w:after="0" w:line="560" w:lineRule="exact"/>
        <w:jc w:val="center"/>
        <w:rPr>
          <w:rFonts w:hint="eastAsia" w:ascii="宋体" w:hAnsi="宋体" w:eastAsia="宋体" w:cs="宋体"/>
          <w:b/>
          <w:bCs/>
          <w:sz w:val="28"/>
          <w:szCs w:val="28"/>
          <w:highlight w:val="none"/>
        </w:rPr>
      </w:pPr>
    </w:p>
    <w:p w14:paraId="68C5C18F">
      <w:pPr>
        <w:spacing w:before="0" w:after="0" w:line="560" w:lineRule="exact"/>
        <w:jc w:val="center"/>
        <w:rPr>
          <w:rFonts w:hint="eastAsia" w:ascii="宋体" w:hAnsi="宋体" w:eastAsia="宋体" w:cs="宋体"/>
          <w:b/>
          <w:bCs/>
          <w:sz w:val="28"/>
          <w:szCs w:val="28"/>
          <w:highlight w:val="none"/>
        </w:rPr>
      </w:pPr>
    </w:p>
    <w:p w14:paraId="4CB5AF25">
      <w:pPr>
        <w:spacing w:before="0" w:after="0" w:line="560" w:lineRule="exact"/>
        <w:jc w:val="center"/>
        <w:rPr>
          <w:rFonts w:hint="eastAsia" w:ascii="宋体" w:hAnsi="宋体" w:eastAsia="宋体" w:cs="宋体"/>
          <w:b/>
          <w:bCs/>
          <w:sz w:val="28"/>
          <w:szCs w:val="28"/>
          <w:highlight w:val="none"/>
        </w:rPr>
      </w:pPr>
    </w:p>
    <w:p w14:paraId="0B8BDC5F">
      <w:pPr>
        <w:spacing w:before="0" w:after="0" w:line="560" w:lineRule="exact"/>
        <w:jc w:val="center"/>
        <w:rPr>
          <w:rFonts w:hint="eastAsia" w:ascii="宋体" w:hAnsi="宋体" w:eastAsia="宋体" w:cs="宋体"/>
          <w:b/>
          <w:bCs/>
          <w:sz w:val="28"/>
          <w:szCs w:val="28"/>
          <w:highlight w:val="none"/>
        </w:rPr>
      </w:pPr>
    </w:p>
    <w:p w14:paraId="2B4646B8">
      <w:pPr>
        <w:spacing w:before="0" w:after="0" w:line="560" w:lineRule="exact"/>
        <w:jc w:val="center"/>
        <w:rPr>
          <w:rFonts w:hint="eastAsia" w:ascii="宋体" w:hAnsi="宋体" w:eastAsia="宋体" w:cs="宋体"/>
          <w:b/>
          <w:bCs/>
          <w:sz w:val="28"/>
          <w:szCs w:val="28"/>
          <w:highlight w:val="none"/>
        </w:rPr>
      </w:pPr>
    </w:p>
    <w:p w14:paraId="2A3290FE">
      <w:pPr>
        <w:spacing w:before="0" w:after="0" w:line="560" w:lineRule="exact"/>
        <w:jc w:val="center"/>
        <w:rPr>
          <w:rFonts w:hint="eastAsia" w:ascii="宋体" w:hAnsi="宋体" w:eastAsia="宋体" w:cs="宋体"/>
          <w:b/>
          <w:bCs/>
          <w:sz w:val="28"/>
          <w:szCs w:val="28"/>
          <w:highlight w:val="none"/>
        </w:rPr>
      </w:pPr>
    </w:p>
    <w:p w14:paraId="31D08E39">
      <w:pPr>
        <w:spacing w:before="0" w:after="0" w:line="560" w:lineRule="exact"/>
        <w:jc w:val="center"/>
        <w:rPr>
          <w:rFonts w:hint="eastAsia" w:ascii="宋体" w:hAnsi="宋体" w:eastAsia="宋体" w:cs="宋体"/>
          <w:b/>
          <w:bCs/>
          <w:sz w:val="28"/>
          <w:szCs w:val="28"/>
          <w:highlight w:val="none"/>
        </w:rPr>
      </w:pPr>
    </w:p>
    <w:p w14:paraId="333F7BDD">
      <w:pPr>
        <w:spacing w:before="0" w:after="0" w:line="560" w:lineRule="exact"/>
        <w:jc w:val="center"/>
        <w:rPr>
          <w:rFonts w:hint="eastAsia" w:ascii="宋体" w:hAnsi="宋体" w:eastAsia="宋体" w:cs="宋体"/>
          <w:b/>
          <w:bCs/>
          <w:sz w:val="28"/>
          <w:szCs w:val="28"/>
          <w:highlight w:val="none"/>
        </w:rPr>
      </w:pPr>
    </w:p>
    <w:p w14:paraId="5B28F1B7">
      <w:pPr>
        <w:spacing w:before="0" w:after="0" w:line="560" w:lineRule="exact"/>
        <w:jc w:val="center"/>
        <w:rPr>
          <w:rFonts w:hint="eastAsia" w:ascii="宋体" w:hAnsi="宋体" w:eastAsia="宋体" w:cs="宋体"/>
          <w:b/>
          <w:bCs/>
          <w:sz w:val="28"/>
          <w:szCs w:val="28"/>
          <w:highlight w:val="none"/>
        </w:rPr>
      </w:pPr>
    </w:p>
    <w:p w14:paraId="0490402A">
      <w:pPr>
        <w:spacing w:before="0" w:after="0" w:line="560" w:lineRule="exact"/>
        <w:jc w:val="center"/>
        <w:rPr>
          <w:rFonts w:hint="eastAsia" w:ascii="宋体" w:hAnsi="宋体" w:eastAsia="宋体" w:cs="宋体"/>
          <w:b/>
          <w:bCs/>
          <w:sz w:val="28"/>
          <w:szCs w:val="28"/>
          <w:highlight w:val="none"/>
        </w:rPr>
      </w:pPr>
    </w:p>
    <w:p w14:paraId="260BEF33">
      <w:pPr>
        <w:spacing w:before="0" w:after="0" w:line="560" w:lineRule="exact"/>
        <w:jc w:val="center"/>
        <w:rPr>
          <w:rFonts w:hint="eastAsia" w:ascii="宋体" w:hAnsi="宋体" w:eastAsia="宋体" w:cs="宋体"/>
          <w:b/>
          <w:bCs/>
          <w:sz w:val="28"/>
          <w:szCs w:val="28"/>
          <w:highlight w:val="none"/>
        </w:rPr>
      </w:pPr>
    </w:p>
    <w:p w14:paraId="47D18B7F">
      <w:pPr>
        <w:spacing w:before="0" w:after="0" w:line="560" w:lineRule="exact"/>
        <w:jc w:val="both"/>
        <w:rPr>
          <w:rFonts w:hint="eastAsia" w:ascii="宋体" w:hAnsi="宋体" w:eastAsia="宋体" w:cs="宋体"/>
          <w:b/>
          <w:bCs/>
          <w:sz w:val="28"/>
          <w:szCs w:val="28"/>
          <w:highlight w:val="none"/>
        </w:rPr>
      </w:pPr>
    </w:p>
    <w:p w14:paraId="3D6040AB">
      <w:pPr>
        <w:spacing w:before="0" w:after="0" w:line="560" w:lineRule="exact"/>
        <w:jc w:val="center"/>
        <w:rPr>
          <w:rFonts w:hint="eastAsia" w:ascii="宋体" w:hAnsi="宋体" w:eastAsia="宋体" w:cs="宋体"/>
          <w:b/>
          <w:bCs/>
          <w:sz w:val="28"/>
          <w:szCs w:val="28"/>
          <w:highlight w:val="none"/>
        </w:rPr>
      </w:pPr>
    </w:p>
    <w:p w14:paraId="3F6F67EE">
      <w:pPr>
        <w:spacing w:before="0" w:after="0" w:line="560" w:lineRule="exact"/>
        <w:jc w:val="center"/>
        <w:rPr>
          <w:rFonts w:hint="eastAsia" w:ascii="宋体" w:hAnsi="宋体" w:eastAsia="宋体" w:cs="宋体"/>
          <w:b/>
          <w:bCs/>
          <w:sz w:val="28"/>
          <w:szCs w:val="28"/>
          <w:highlight w:val="none"/>
        </w:rPr>
      </w:pPr>
    </w:p>
    <w:p w14:paraId="37F674AA">
      <w:pPr>
        <w:spacing w:before="0" w:after="0" w:line="560" w:lineRule="exact"/>
        <w:jc w:val="center"/>
        <w:rPr>
          <w:rFonts w:hint="eastAsia" w:ascii="宋体" w:hAnsi="宋体" w:eastAsia="宋体" w:cs="宋体"/>
          <w:b/>
          <w:bCs/>
          <w:sz w:val="28"/>
          <w:szCs w:val="28"/>
          <w:highlight w:val="none"/>
        </w:rPr>
      </w:pPr>
    </w:p>
    <w:p w14:paraId="7045E3EA">
      <w:pPr>
        <w:spacing w:before="0" w:after="0" w:line="560" w:lineRule="exact"/>
        <w:jc w:val="center"/>
        <w:rPr>
          <w:rFonts w:hint="eastAsia" w:ascii="宋体" w:hAnsi="宋体" w:eastAsia="宋体" w:cs="宋体"/>
          <w:b/>
          <w:bCs/>
          <w:sz w:val="28"/>
          <w:szCs w:val="28"/>
          <w:highlight w:val="none"/>
        </w:rPr>
      </w:pPr>
    </w:p>
    <w:p w14:paraId="018A9D1B">
      <w:pPr>
        <w:spacing w:before="0" w:after="0" w:line="560" w:lineRule="exact"/>
        <w:jc w:val="center"/>
        <w:rPr>
          <w:rFonts w:ascii="宋体" w:hAnsi="宋体" w:eastAsia="宋体" w:cs="宋体"/>
          <w:sz w:val="28"/>
          <w:szCs w:val="28"/>
          <w:highlight w:val="none"/>
        </w:rPr>
      </w:pPr>
      <w:r>
        <w:rPr>
          <w:rFonts w:hint="eastAsia" w:ascii="宋体" w:hAnsi="宋体" w:eastAsia="宋体" w:cs="宋体"/>
          <w:b/>
          <w:bCs/>
          <w:sz w:val="28"/>
          <w:szCs w:val="28"/>
          <w:highlight w:val="none"/>
        </w:rPr>
        <w:t>四、响应文件格式</w:t>
      </w:r>
      <w:bookmarkEnd w:id="39"/>
    </w:p>
    <w:p w14:paraId="38E4EF39">
      <w:pPr>
        <w:spacing w:line="500" w:lineRule="exact"/>
        <w:jc w:val="center"/>
        <w:rPr>
          <w:rFonts w:ascii="宋体" w:hAnsi="宋体"/>
          <w:b/>
          <w:sz w:val="32"/>
          <w:highlight w:val="none"/>
        </w:rPr>
      </w:pPr>
    </w:p>
    <w:p w14:paraId="16A5B1DB">
      <w:pPr>
        <w:spacing w:line="500" w:lineRule="exact"/>
        <w:jc w:val="center"/>
        <w:rPr>
          <w:rFonts w:ascii="宋体" w:hAnsi="宋体"/>
          <w:b/>
          <w:sz w:val="32"/>
          <w:highlight w:val="none"/>
        </w:rPr>
      </w:pPr>
      <w:r>
        <w:rPr>
          <w:rFonts w:hint="eastAsia" w:ascii="宋体" w:hAnsi="宋体"/>
          <w:b/>
          <w:sz w:val="32"/>
          <w:highlight w:val="none"/>
          <w:u w:val="single"/>
        </w:rPr>
        <w:t xml:space="preserve">　　　　　　　 </w:t>
      </w:r>
      <w:r>
        <w:rPr>
          <w:rFonts w:hint="eastAsia" w:ascii="宋体" w:hAnsi="宋体"/>
          <w:b/>
          <w:sz w:val="32"/>
          <w:highlight w:val="none"/>
        </w:rPr>
        <w:t>项目</w:t>
      </w:r>
    </w:p>
    <w:p w14:paraId="22E663AB">
      <w:pPr>
        <w:spacing w:line="900" w:lineRule="exact"/>
        <w:rPr>
          <w:rFonts w:ascii="宋体" w:hAnsi="宋体"/>
          <w:b/>
          <w:sz w:val="72"/>
          <w:highlight w:val="none"/>
        </w:rPr>
      </w:pPr>
    </w:p>
    <w:p w14:paraId="424A9ADE">
      <w:pPr>
        <w:spacing w:line="900" w:lineRule="exact"/>
        <w:jc w:val="center"/>
        <w:rPr>
          <w:rFonts w:ascii="宋体" w:hAnsi="宋体"/>
          <w:b/>
          <w:sz w:val="72"/>
          <w:highlight w:val="none"/>
        </w:rPr>
      </w:pPr>
      <w:r>
        <w:rPr>
          <w:rFonts w:hint="eastAsia" w:ascii="宋体" w:hAnsi="宋体"/>
          <w:b/>
          <w:sz w:val="72"/>
          <w:highlight w:val="none"/>
        </w:rPr>
        <w:t>响</w:t>
      </w:r>
    </w:p>
    <w:p w14:paraId="2D5079D1">
      <w:pPr>
        <w:spacing w:line="900" w:lineRule="exact"/>
        <w:jc w:val="center"/>
        <w:rPr>
          <w:rFonts w:ascii="宋体" w:hAnsi="宋体"/>
          <w:b/>
          <w:sz w:val="72"/>
          <w:highlight w:val="none"/>
        </w:rPr>
      </w:pPr>
    </w:p>
    <w:p w14:paraId="0C09508B">
      <w:pPr>
        <w:spacing w:line="900" w:lineRule="exact"/>
        <w:jc w:val="center"/>
        <w:rPr>
          <w:rFonts w:ascii="宋体" w:hAnsi="宋体"/>
          <w:b/>
          <w:sz w:val="72"/>
          <w:highlight w:val="none"/>
        </w:rPr>
      </w:pPr>
      <w:r>
        <w:rPr>
          <w:rFonts w:hint="eastAsia" w:ascii="宋体" w:hAnsi="宋体"/>
          <w:b/>
          <w:sz w:val="72"/>
          <w:highlight w:val="none"/>
        </w:rPr>
        <w:t>应</w:t>
      </w:r>
    </w:p>
    <w:p w14:paraId="22BB81DA">
      <w:pPr>
        <w:spacing w:line="900" w:lineRule="exact"/>
        <w:jc w:val="center"/>
        <w:rPr>
          <w:rFonts w:ascii="宋体" w:hAnsi="宋体"/>
          <w:b/>
          <w:sz w:val="72"/>
          <w:highlight w:val="none"/>
        </w:rPr>
      </w:pPr>
    </w:p>
    <w:p w14:paraId="54E8A8F1">
      <w:pPr>
        <w:spacing w:line="900" w:lineRule="exact"/>
        <w:jc w:val="center"/>
        <w:rPr>
          <w:rFonts w:ascii="宋体" w:hAnsi="宋体"/>
          <w:b/>
          <w:sz w:val="72"/>
          <w:highlight w:val="none"/>
        </w:rPr>
      </w:pPr>
      <w:r>
        <w:rPr>
          <w:rFonts w:hint="eastAsia" w:ascii="宋体" w:hAnsi="宋体"/>
          <w:b/>
          <w:sz w:val="72"/>
          <w:highlight w:val="none"/>
        </w:rPr>
        <w:t>文</w:t>
      </w:r>
    </w:p>
    <w:p w14:paraId="39FB223A">
      <w:pPr>
        <w:spacing w:line="900" w:lineRule="exact"/>
        <w:jc w:val="center"/>
        <w:rPr>
          <w:rFonts w:ascii="宋体" w:hAnsi="宋体"/>
          <w:b/>
          <w:sz w:val="72"/>
          <w:highlight w:val="none"/>
        </w:rPr>
      </w:pPr>
    </w:p>
    <w:p w14:paraId="3B38FF22">
      <w:pPr>
        <w:jc w:val="center"/>
        <w:rPr>
          <w:rFonts w:ascii="宋体" w:hAnsi="宋体"/>
          <w:b/>
          <w:sz w:val="72"/>
          <w:highlight w:val="none"/>
        </w:rPr>
      </w:pPr>
      <w:r>
        <w:rPr>
          <w:rFonts w:hint="eastAsia" w:ascii="宋体" w:hAnsi="宋体"/>
          <w:b/>
          <w:sz w:val="72"/>
          <w:highlight w:val="none"/>
        </w:rPr>
        <w:t>件</w:t>
      </w:r>
    </w:p>
    <w:p w14:paraId="5BFAF9B8">
      <w:pPr>
        <w:spacing w:after="156" w:afterLines="50"/>
        <w:jc w:val="center"/>
        <w:rPr>
          <w:rFonts w:ascii="宋体" w:hAnsi="宋体"/>
          <w:b/>
          <w:sz w:val="72"/>
          <w:highlight w:val="none"/>
        </w:rPr>
      </w:pPr>
    </w:p>
    <w:p w14:paraId="7085F618">
      <w:pPr>
        <w:spacing w:after="156" w:afterLines="50" w:line="500" w:lineRule="exact"/>
        <w:jc w:val="center"/>
        <w:rPr>
          <w:rFonts w:ascii="宋体" w:hAnsi="宋体"/>
          <w:b/>
          <w:sz w:val="30"/>
          <w:szCs w:val="30"/>
          <w:highlight w:val="none"/>
        </w:rPr>
      </w:pPr>
      <w:r>
        <w:rPr>
          <w:rFonts w:hint="eastAsia" w:ascii="宋体" w:hAnsi="宋体"/>
          <w:b/>
          <w:sz w:val="30"/>
          <w:szCs w:val="30"/>
          <w:highlight w:val="none"/>
        </w:rPr>
        <w:t>第</w:t>
      </w:r>
      <w:r>
        <w:rPr>
          <w:rFonts w:hint="eastAsia" w:ascii="宋体" w:hAnsi="宋体"/>
          <w:b/>
          <w:sz w:val="30"/>
          <w:szCs w:val="30"/>
          <w:highlight w:val="none"/>
          <w:u w:val="single"/>
        </w:rPr>
        <w:t xml:space="preserve">   </w:t>
      </w:r>
      <w:r>
        <w:rPr>
          <w:rFonts w:hint="eastAsia" w:ascii="宋体" w:hAnsi="宋体"/>
          <w:b/>
          <w:sz w:val="30"/>
          <w:szCs w:val="30"/>
          <w:highlight w:val="none"/>
        </w:rPr>
        <w:t>包</w:t>
      </w:r>
    </w:p>
    <w:p w14:paraId="2C1A9BB3">
      <w:pPr>
        <w:spacing w:after="156" w:afterLines="50" w:line="500" w:lineRule="exact"/>
        <w:jc w:val="center"/>
        <w:rPr>
          <w:rFonts w:ascii="宋体" w:hAnsi="宋体"/>
          <w:b/>
          <w:sz w:val="72"/>
          <w:highlight w:val="none"/>
        </w:rPr>
      </w:pPr>
    </w:p>
    <w:p w14:paraId="4427D47F">
      <w:pPr>
        <w:spacing w:after="156" w:afterLines="50" w:line="500" w:lineRule="exact"/>
        <w:ind w:firstLine="2891" w:firstLineChars="900"/>
        <w:rPr>
          <w:rFonts w:hint="eastAsia" w:ascii="宋体" w:hAnsi="宋体"/>
          <w:b/>
          <w:sz w:val="32"/>
          <w:highlight w:val="none"/>
        </w:rPr>
      </w:pPr>
      <w:r>
        <w:rPr>
          <w:rFonts w:hint="eastAsia" w:ascii="宋体" w:hAnsi="宋体" w:cs="宋体"/>
          <w:b/>
          <w:sz w:val="32"/>
          <w:highlight w:val="none"/>
        </w:rPr>
        <w:t>供应商：</w:t>
      </w:r>
    </w:p>
    <w:p w14:paraId="6214D826">
      <w:pPr>
        <w:spacing w:after="156" w:afterLines="50" w:line="500" w:lineRule="exact"/>
        <w:ind w:firstLine="3373" w:firstLineChars="1050"/>
        <w:rPr>
          <w:rFonts w:hint="eastAsia" w:ascii="宋体" w:hAnsi="宋体"/>
          <w:b/>
          <w:sz w:val="32"/>
          <w:highlight w:val="none"/>
        </w:rPr>
      </w:pPr>
      <w:r>
        <w:rPr>
          <w:rFonts w:hint="eastAsia" w:ascii="宋体" w:hAnsi="宋体"/>
          <w:b/>
          <w:sz w:val="32"/>
          <w:highlight w:val="none"/>
        </w:rPr>
        <w:t>年  月  日</w:t>
      </w:r>
    </w:p>
    <w:p w14:paraId="3EB1CA82">
      <w:pPr>
        <w:rPr>
          <w:highlight w:val="none"/>
        </w:rPr>
      </w:pPr>
    </w:p>
    <w:bookmarkEnd w:id="38"/>
    <w:p w14:paraId="746E4586">
      <w:pPr>
        <w:spacing w:before="0" w:after="0" w:line="560" w:lineRule="exact"/>
        <w:jc w:val="center"/>
        <w:rPr>
          <w:rFonts w:ascii="宋体" w:hAnsi="宋体" w:eastAsia="宋体" w:cs="宋体"/>
          <w:sz w:val="24"/>
          <w:szCs w:val="24"/>
          <w:highlight w:val="none"/>
        </w:rPr>
      </w:pPr>
      <w:bookmarkStart w:id="40" w:name="_Toc3949"/>
      <w:r>
        <w:rPr>
          <w:rFonts w:hint="eastAsia" w:ascii="宋体" w:hAnsi="宋体" w:eastAsia="宋体" w:cs="宋体"/>
          <w:sz w:val="24"/>
          <w:szCs w:val="24"/>
          <w:highlight w:val="none"/>
        </w:rPr>
        <w:t>响应文件资料清单</w:t>
      </w:r>
      <w:bookmarkEnd w:id="40"/>
    </w:p>
    <w:tbl>
      <w:tblPr>
        <w:tblStyle w:val="8"/>
        <w:tblW w:w="850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0"/>
        <w:gridCol w:w="6038"/>
        <w:gridCol w:w="1417"/>
      </w:tblGrid>
      <w:tr w14:paraId="5FA05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79FB99BE">
            <w:pPr>
              <w:spacing w:line="400" w:lineRule="exact"/>
              <w:jc w:val="center"/>
              <w:rPr>
                <w:rFonts w:ascii="宋体" w:hAnsi="宋体"/>
                <w:b/>
                <w:sz w:val="24"/>
                <w:highlight w:val="none"/>
              </w:rPr>
            </w:pPr>
            <w:r>
              <w:rPr>
                <w:rFonts w:hint="eastAsia" w:ascii="宋体" w:hAnsi="宋体"/>
                <w:b/>
                <w:sz w:val="24"/>
                <w:highlight w:val="none"/>
              </w:rPr>
              <w:t>序号</w:t>
            </w:r>
          </w:p>
        </w:tc>
        <w:tc>
          <w:tcPr>
            <w:tcW w:w="6038" w:type="dxa"/>
            <w:vAlign w:val="center"/>
          </w:tcPr>
          <w:p w14:paraId="67696114">
            <w:pPr>
              <w:spacing w:line="400" w:lineRule="exact"/>
              <w:jc w:val="center"/>
              <w:rPr>
                <w:rFonts w:ascii="宋体" w:hAnsi="宋体"/>
                <w:b/>
                <w:sz w:val="24"/>
                <w:highlight w:val="none"/>
              </w:rPr>
            </w:pPr>
            <w:r>
              <w:rPr>
                <w:rFonts w:hint="eastAsia" w:ascii="宋体" w:hAnsi="宋体"/>
                <w:b/>
                <w:sz w:val="24"/>
                <w:highlight w:val="none"/>
              </w:rPr>
              <w:t>资料名称</w:t>
            </w:r>
          </w:p>
        </w:tc>
        <w:tc>
          <w:tcPr>
            <w:tcW w:w="1417" w:type="dxa"/>
            <w:vAlign w:val="center"/>
          </w:tcPr>
          <w:p w14:paraId="6B894E53">
            <w:pPr>
              <w:spacing w:line="400" w:lineRule="exact"/>
              <w:jc w:val="center"/>
              <w:rPr>
                <w:rFonts w:ascii="宋体" w:hAnsi="宋体"/>
                <w:b/>
                <w:sz w:val="24"/>
                <w:highlight w:val="none"/>
              </w:rPr>
            </w:pPr>
            <w:r>
              <w:rPr>
                <w:rFonts w:hint="eastAsia" w:ascii="宋体" w:hAnsi="宋体"/>
                <w:b/>
                <w:sz w:val="24"/>
                <w:highlight w:val="none"/>
              </w:rPr>
              <w:t>备注</w:t>
            </w:r>
          </w:p>
        </w:tc>
      </w:tr>
      <w:tr w14:paraId="5159F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5482D329">
            <w:pPr>
              <w:jc w:val="center"/>
              <w:rPr>
                <w:rFonts w:ascii="Tahoma" w:hAnsi="Tahoma"/>
                <w:sz w:val="24"/>
                <w:highlight w:val="none"/>
              </w:rPr>
            </w:pPr>
            <w:r>
              <w:rPr>
                <w:rFonts w:hint="eastAsia" w:ascii="Tahoma" w:hAnsi="Tahoma"/>
                <w:sz w:val="24"/>
                <w:highlight w:val="none"/>
              </w:rPr>
              <w:t>一</w:t>
            </w:r>
          </w:p>
        </w:tc>
        <w:tc>
          <w:tcPr>
            <w:tcW w:w="6038" w:type="dxa"/>
            <w:vAlign w:val="center"/>
          </w:tcPr>
          <w:p w14:paraId="3A5A1983">
            <w:pPr>
              <w:spacing w:line="360" w:lineRule="auto"/>
              <w:rPr>
                <w:rFonts w:ascii="Tahoma" w:hAnsi="Tahoma"/>
                <w:sz w:val="24"/>
                <w:highlight w:val="none"/>
              </w:rPr>
            </w:pPr>
            <w:r>
              <w:rPr>
                <w:rFonts w:hint="eastAsia" w:ascii="宋体" w:hAnsi="宋体"/>
                <w:sz w:val="24"/>
                <w:szCs w:val="24"/>
                <w:highlight w:val="none"/>
              </w:rPr>
              <w:t>报价单</w:t>
            </w:r>
          </w:p>
        </w:tc>
        <w:tc>
          <w:tcPr>
            <w:tcW w:w="1417" w:type="dxa"/>
            <w:vAlign w:val="center"/>
          </w:tcPr>
          <w:p w14:paraId="7FD83B5F">
            <w:pPr>
              <w:spacing w:line="360" w:lineRule="auto"/>
              <w:jc w:val="center"/>
              <w:rPr>
                <w:rFonts w:ascii="宋体" w:hAnsi="宋体"/>
                <w:b/>
                <w:sz w:val="24"/>
                <w:highlight w:val="none"/>
              </w:rPr>
            </w:pPr>
          </w:p>
        </w:tc>
      </w:tr>
      <w:tr w14:paraId="636DF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77EC0A8">
            <w:pPr>
              <w:jc w:val="center"/>
              <w:rPr>
                <w:rFonts w:ascii="Tahoma" w:hAnsi="Tahoma"/>
                <w:sz w:val="24"/>
                <w:highlight w:val="none"/>
              </w:rPr>
            </w:pPr>
            <w:r>
              <w:rPr>
                <w:rFonts w:hint="eastAsia" w:ascii="Tahoma" w:hAnsi="Tahoma"/>
                <w:sz w:val="24"/>
                <w:highlight w:val="none"/>
              </w:rPr>
              <w:t>二</w:t>
            </w:r>
          </w:p>
        </w:tc>
        <w:tc>
          <w:tcPr>
            <w:tcW w:w="6038" w:type="dxa"/>
            <w:vAlign w:val="center"/>
          </w:tcPr>
          <w:p w14:paraId="2D78E0DE">
            <w:pPr>
              <w:spacing w:line="360" w:lineRule="auto"/>
              <w:rPr>
                <w:rFonts w:ascii="Tahoma" w:hAnsi="Tahoma"/>
                <w:sz w:val="24"/>
                <w:highlight w:val="none"/>
              </w:rPr>
            </w:pPr>
            <w:r>
              <w:rPr>
                <w:rFonts w:hint="eastAsia" w:ascii="Tahoma" w:hAnsi="Tahoma"/>
                <w:sz w:val="24"/>
                <w:highlight w:val="none"/>
              </w:rPr>
              <w:t>供应商基本信息</w:t>
            </w:r>
          </w:p>
        </w:tc>
        <w:tc>
          <w:tcPr>
            <w:tcW w:w="1417" w:type="dxa"/>
            <w:vAlign w:val="center"/>
          </w:tcPr>
          <w:p w14:paraId="36F7379A">
            <w:pPr>
              <w:spacing w:line="360" w:lineRule="auto"/>
              <w:jc w:val="center"/>
              <w:rPr>
                <w:rFonts w:ascii="宋体" w:hAnsi="宋体"/>
                <w:b/>
                <w:sz w:val="24"/>
                <w:highlight w:val="none"/>
              </w:rPr>
            </w:pPr>
          </w:p>
        </w:tc>
      </w:tr>
      <w:tr w14:paraId="1077A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4A23A03">
            <w:pPr>
              <w:spacing w:line="360" w:lineRule="auto"/>
              <w:jc w:val="center"/>
              <w:rPr>
                <w:rFonts w:hint="eastAsia" w:ascii="Tahoma" w:hAnsi="Tahoma"/>
                <w:sz w:val="24"/>
                <w:highlight w:val="none"/>
              </w:rPr>
            </w:pPr>
            <w:r>
              <w:rPr>
                <w:rFonts w:hint="eastAsia" w:ascii="Tahoma" w:hAnsi="Tahoma"/>
                <w:sz w:val="24"/>
                <w:highlight w:val="none"/>
              </w:rPr>
              <w:t>三</w:t>
            </w:r>
          </w:p>
        </w:tc>
        <w:tc>
          <w:tcPr>
            <w:tcW w:w="6038" w:type="dxa"/>
            <w:vAlign w:val="center"/>
          </w:tcPr>
          <w:p w14:paraId="102B5DFC">
            <w:pPr>
              <w:spacing w:line="360" w:lineRule="auto"/>
              <w:rPr>
                <w:rFonts w:hint="eastAsia" w:ascii="Tahoma" w:hAnsi="Tahoma"/>
                <w:sz w:val="24"/>
                <w:highlight w:val="none"/>
              </w:rPr>
            </w:pPr>
            <w:r>
              <w:rPr>
                <w:rFonts w:hint="eastAsia" w:ascii="Tahoma" w:hAnsi="Tahoma"/>
                <w:sz w:val="24"/>
                <w:highlight w:val="none"/>
              </w:rPr>
              <w:t>谈判授权书</w:t>
            </w:r>
          </w:p>
        </w:tc>
        <w:tc>
          <w:tcPr>
            <w:tcW w:w="1417" w:type="dxa"/>
            <w:vAlign w:val="center"/>
          </w:tcPr>
          <w:p w14:paraId="0FDD3AD5">
            <w:pPr>
              <w:spacing w:line="360" w:lineRule="auto"/>
              <w:jc w:val="center"/>
              <w:rPr>
                <w:rFonts w:ascii="宋体" w:hAnsi="宋体"/>
                <w:b/>
                <w:sz w:val="24"/>
                <w:highlight w:val="none"/>
              </w:rPr>
            </w:pPr>
          </w:p>
        </w:tc>
      </w:tr>
      <w:tr w14:paraId="21A66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5C2CF25">
            <w:pPr>
              <w:spacing w:line="360" w:lineRule="auto"/>
              <w:jc w:val="center"/>
              <w:rPr>
                <w:rFonts w:hint="eastAsia" w:ascii="Tahoma" w:hAnsi="Tahoma"/>
                <w:sz w:val="24"/>
                <w:highlight w:val="none"/>
              </w:rPr>
            </w:pPr>
            <w:r>
              <w:rPr>
                <w:rFonts w:hint="eastAsia" w:ascii="Tahoma" w:hAnsi="Tahoma"/>
                <w:sz w:val="24"/>
                <w:highlight w:val="none"/>
              </w:rPr>
              <w:t>四</w:t>
            </w:r>
          </w:p>
        </w:tc>
        <w:tc>
          <w:tcPr>
            <w:tcW w:w="6038" w:type="dxa"/>
            <w:vAlign w:val="center"/>
          </w:tcPr>
          <w:p w14:paraId="1427F8A6">
            <w:pPr>
              <w:spacing w:line="360" w:lineRule="auto"/>
              <w:rPr>
                <w:rFonts w:hint="eastAsia" w:ascii="Tahoma" w:hAnsi="Tahoma"/>
                <w:sz w:val="24"/>
                <w:highlight w:val="none"/>
              </w:rPr>
            </w:pPr>
            <w:r>
              <w:rPr>
                <w:rFonts w:hint="eastAsia" w:ascii="Tahoma" w:hAnsi="Tahoma"/>
                <w:sz w:val="24"/>
                <w:highlight w:val="none"/>
              </w:rPr>
              <w:t>谈判响应函</w:t>
            </w:r>
          </w:p>
        </w:tc>
        <w:tc>
          <w:tcPr>
            <w:tcW w:w="1417" w:type="dxa"/>
            <w:vAlign w:val="center"/>
          </w:tcPr>
          <w:p w14:paraId="034CC7F2">
            <w:pPr>
              <w:spacing w:line="360" w:lineRule="auto"/>
              <w:jc w:val="center"/>
              <w:rPr>
                <w:rFonts w:ascii="宋体" w:hAnsi="宋体"/>
                <w:b/>
                <w:sz w:val="24"/>
                <w:highlight w:val="none"/>
              </w:rPr>
            </w:pPr>
          </w:p>
        </w:tc>
      </w:tr>
      <w:tr w14:paraId="738F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3042011">
            <w:pPr>
              <w:jc w:val="center"/>
              <w:rPr>
                <w:rFonts w:ascii="Tahoma" w:hAnsi="Tahoma"/>
                <w:sz w:val="24"/>
                <w:highlight w:val="none"/>
              </w:rPr>
            </w:pPr>
            <w:r>
              <w:rPr>
                <w:rFonts w:hint="eastAsia" w:ascii="Tahoma" w:hAnsi="Tahoma"/>
                <w:sz w:val="24"/>
                <w:highlight w:val="none"/>
              </w:rPr>
              <w:t>五</w:t>
            </w:r>
          </w:p>
        </w:tc>
        <w:tc>
          <w:tcPr>
            <w:tcW w:w="6038" w:type="dxa"/>
            <w:vAlign w:val="center"/>
          </w:tcPr>
          <w:p w14:paraId="33130A11">
            <w:pPr>
              <w:rPr>
                <w:rFonts w:ascii="宋体" w:hAnsi="宋体" w:cs="宋体"/>
                <w:sz w:val="24"/>
                <w:highlight w:val="none"/>
              </w:rPr>
            </w:pPr>
            <w:r>
              <w:rPr>
                <w:rFonts w:hint="eastAsia" w:ascii="宋体" w:hAnsi="宋体" w:cs="宋体"/>
                <w:sz w:val="24"/>
                <w:szCs w:val="24"/>
                <w:highlight w:val="none"/>
              </w:rPr>
              <w:t>无重大违法记录声明函、无不良信用记录承诺函</w:t>
            </w:r>
          </w:p>
        </w:tc>
        <w:tc>
          <w:tcPr>
            <w:tcW w:w="1417" w:type="dxa"/>
            <w:vAlign w:val="center"/>
          </w:tcPr>
          <w:p w14:paraId="2A50A3B3">
            <w:pPr>
              <w:spacing w:line="360" w:lineRule="auto"/>
              <w:jc w:val="center"/>
              <w:rPr>
                <w:rFonts w:ascii="宋体" w:hAnsi="宋体"/>
                <w:b/>
                <w:sz w:val="24"/>
                <w:highlight w:val="none"/>
              </w:rPr>
            </w:pPr>
          </w:p>
        </w:tc>
      </w:tr>
      <w:tr w14:paraId="42F8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1050" w:type="dxa"/>
            <w:vAlign w:val="center"/>
          </w:tcPr>
          <w:p w14:paraId="184FF7F9">
            <w:pPr>
              <w:jc w:val="center"/>
              <w:rPr>
                <w:rFonts w:ascii="Tahoma" w:hAnsi="Tahoma"/>
                <w:sz w:val="24"/>
                <w:highlight w:val="none"/>
              </w:rPr>
            </w:pPr>
            <w:r>
              <w:rPr>
                <w:rFonts w:hint="eastAsia" w:ascii="Tahoma" w:hAnsi="Tahoma"/>
                <w:sz w:val="24"/>
                <w:highlight w:val="none"/>
              </w:rPr>
              <w:t>六</w:t>
            </w:r>
          </w:p>
        </w:tc>
        <w:tc>
          <w:tcPr>
            <w:tcW w:w="6038" w:type="dxa"/>
            <w:vAlign w:val="center"/>
          </w:tcPr>
          <w:p w14:paraId="27457E71">
            <w:pPr>
              <w:rPr>
                <w:rFonts w:ascii="宋体" w:hAnsi="宋体" w:cs="宋体"/>
                <w:sz w:val="24"/>
                <w:highlight w:val="none"/>
              </w:rPr>
            </w:pPr>
            <w:r>
              <w:rPr>
                <w:rFonts w:hint="eastAsia" w:ascii="宋体" w:hAnsi="宋体" w:cs="宋体"/>
                <w:sz w:val="24"/>
                <w:szCs w:val="24"/>
                <w:highlight w:val="none"/>
              </w:rPr>
              <w:t>响应情况表</w:t>
            </w:r>
          </w:p>
        </w:tc>
        <w:tc>
          <w:tcPr>
            <w:tcW w:w="1417" w:type="dxa"/>
            <w:vAlign w:val="center"/>
          </w:tcPr>
          <w:p w14:paraId="70C18939">
            <w:pPr>
              <w:spacing w:line="360" w:lineRule="auto"/>
              <w:rPr>
                <w:rFonts w:ascii="宋体" w:hAnsi="宋体"/>
                <w:b/>
                <w:sz w:val="24"/>
                <w:highlight w:val="none"/>
              </w:rPr>
            </w:pPr>
          </w:p>
        </w:tc>
      </w:tr>
      <w:tr w14:paraId="08A5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050" w:type="dxa"/>
            <w:vAlign w:val="center"/>
          </w:tcPr>
          <w:p w14:paraId="54B101CB">
            <w:pPr>
              <w:jc w:val="center"/>
              <w:rPr>
                <w:rFonts w:ascii="Tahoma" w:hAnsi="Tahoma"/>
                <w:sz w:val="24"/>
                <w:highlight w:val="none"/>
              </w:rPr>
            </w:pPr>
            <w:r>
              <w:rPr>
                <w:rFonts w:hint="eastAsia" w:ascii="Tahoma" w:hAnsi="Tahoma"/>
                <w:sz w:val="24"/>
                <w:highlight w:val="none"/>
              </w:rPr>
              <w:t>七</w:t>
            </w:r>
          </w:p>
        </w:tc>
        <w:tc>
          <w:tcPr>
            <w:tcW w:w="6038" w:type="dxa"/>
            <w:vAlign w:val="center"/>
          </w:tcPr>
          <w:p w14:paraId="018F3067">
            <w:pPr>
              <w:rPr>
                <w:rFonts w:ascii="宋体" w:hAnsi="宋体" w:cs="宋体"/>
                <w:sz w:val="24"/>
                <w:highlight w:val="none"/>
              </w:rPr>
            </w:pPr>
            <w:r>
              <w:rPr>
                <w:rFonts w:hint="eastAsia" w:ascii="宋体" w:hAnsi="宋体" w:cs="宋体"/>
                <w:sz w:val="24"/>
                <w:szCs w:val="24"/>
                <w:highlight w:val="none"/>
              </w:rPr>
              <w:t>服务承诺函</w:t>
            </w:r>
          </w:p>
        </w:tc>
        <w:tc>
          <w:tcPr>
            <w:tcW w:w="1417" w:type="dxa"/>
            <w:vAlign w:val="center"/>
          </w:tcPr>
          <w:p w14:paraId="26A63CCD">
            <w:pPr>
              <w:spacing w:line="360" w:lineRule="auto"/>
              <w:rPr>
                <w:rFonts w:ascii="宋体" w:hAnsi="宋体"/>
                <w:b/>
                <w:sz w:val="24"/>
                <w:highlight w:val="none"/>
              </w:rPr>
            </w:pPr>
          </w:p>
        </w:tc>
      </w:tr>
      <w:tr w14:paraId="29365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3A0011A9">
            <w:pPr>
              <w:jc w:val="center"/>
              <w:rPr>
                <w:rFonts w:ascii="Tahoma" w:hAnsi="Tahoma"/>
                <w:sz w:val="24"/>
                <w:highlight w:val="none"/>
              </w:rPr>
            </w:pPr>
            <w:r>
              <w:rPr>
                <w:rFonts w:hint="eastAsia" w:ascii="Tahoma" w:hAnsi="Tahoma"/>
                <w:sz w:val="24"/>
                <w:highlight w:val="none"/>
              </w:rPr>
              <w:t>八</w:t>
            </w:r>
          </w:p>
        </w:tc>
        <w:tc>
          <w:tcPr>
            <w:tcW w:w="6038" w:type="dxa"/>
            <w:vAlign w:val="center"/>
          </w:tcPr>
          <w:p w14:paraId="66DB763B">
            <w:pPr>
              <w:spacing w:line="480" w:lineRule="exact"/>
              <w:rPr>
                <w:rFonts w:ascii="宋体" w:hAnsi="宋体" w:cs="宋体"/>
                <w:sz w:val="24"/>
                <w:highlight w:val="none"/>
              </w:rPr>
            </w:pPr>
            <w:r>
              <w:rPr>
                <w:rFonts w:hint="eastAsia" w:ascii="宋体" w:hAnsi="宋体" w:cs="宋体"/>
                <w:sz w:val="24"/>
                <w:szCs w:val="24"/>
                <w:highlight w:val="none"/>
              </w:rPr>
              <w:t>谈判文件要求和供应商认为需要提供的其它说明和资料</w:t>
            </w:r>
          </w:p>
        </w:tc>
        <w:tc>
          <w:tcPr>
            <w:tcW w:w="1417" w:type="dxa"/>
            <w:vAlign w:val="center"/>
          </w:tcPr>
          <w:p w14:paraId="4597D277">
            <w:pPr>
              <w:spacing w:line="360" w:lineRule="auto"/>
              <w:rPr>
                <w:rFonts w:ascii="宋体" w:hAnsi="宋体"/>
                <w:b/>
                <w:sz w:val="24"/>
                <w:highlight w:val="none"/>
              </w:rPr>
            </w:pPr>
          </w:p>
        </w:tc>
      </w:tr>
      <w:tr w14:paraId="2B2D1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543597C4">
            <w:pPr>
              <w:jc w:val="center"/>
              <w:rPr>
                <w:rFonts w:ascii="Tahoma" w:hAnsi="Tahoma"/>
                <w:sz w:val="24"/>
                <w:highlight w:val="none"/>
              </w:rPr>
            </w:pPr>
            <w:r>
              <w:rPr>
                <w:rFonts w:hint="eastAsia" w:ascii="Tahoma" w:hAnsi="Tahoma"/>
                <w:sz w:val="24"/>
                <w:highlight w:val="none"/>
              </w:rPr>
              <w:t>九</w:t>
            </w:r>
          </w:p>
        </w:tc>
        <w:tc>
          <w:tcPr>
            <w:tcW w:w="6038" w:type="dxa"/>
            <w:vAlign w:val="center"/>
          </w:tcPr>
          <w:p w14:paraId="65EFE479">
            <w:pPr>
              <w:rPr>
                <w:rFonts w:hint="eastAsia" w:ascii="宋体" w:hAnsi="宋体" w:eastAsia="宋体" w:cs="宋体"/>
                <w:sz w:val="24"/>
                <w:highlight w:val="none"/>
                <w:lang w:val="en-US" w:eastAsia="zh-CN"/>
              </w:rPr>
            </w:pPr>
            <w:r>
              <w:rPr>
                <w:rFonts w:hint="eastAsia" w:ascii="宋体" w:hAnsi="宋体" w:cs="宋体"/>
                <w:sz w:val="24"/>
                <w:szCs w:val="24"/>
                <w:highlight w:val="none"/>
              </w:rPr>
              <w:t>最终报价</w:t>
            </w:r>
            <w:r>
              <w:rPr>
                <w:rFonts w:hint="eastAsia" w:ascii="宋体" w:hAnsi="宋体" w:cs="宋体"/>
                <w:sz w:val="24"/>
                <w:szCs w:val="24"/>
                <w:highlight w:val="none"/>
                <w:lang w:val="en-US" w:eastAsia="zh-CN"/>
              </w:rPr>
              <w:t>书</w:t>
            </w:r>
          </w:p>
        </w:tc>
        <w:tc>
          <w:tcPr>
            <w:tcW w:w="1417" w:type="dxa"/>
            <w:vAlign w:val="center"/>
          </w:tcPr>
          <w:p w14:paraId="0A245BC1">
            <w:pPr>
              <w:spacing w:line="360" w:lineRule="auto"/>
              <w:rPr>
                <w:rFonts w:ascii="宋体" w:hAnsi="宋体"/>
                <w:b/>
                <w:sz w:val="24"/>
                <w:highlight w:val="none"/>
              </w:rPr>
            </w:pPr>
          </w:p>
        </w:tc>
      </w:tr>
      <w:tr w14:paraId="3BDC0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050" w:type="dxa"/>
            <w:vAlign w:val="center"/>
          </w:tcPr>
          <w:p w14:paraId="63686D97">
            <w:pPr>
              <w:jc w:val="center"/>
              <w:rPr>
                <w:rFonts w:ascii="Tahoma" w:hAnsi="Tahoma"/>
                <w:sz w:val="24"/>
                <w:highlight w:val="none"/>
              </w:rPr>
            </w:pPr>
          </w:p>
        </w:tc>
        <w:tc>
          <w:tcPr>
            <w:tcW w:w="6038" w:type="dxa"/>
            <w:vAlign w:val="center"/>
          </w:tcPr>
          <w:p w14:paraId="7A587110">
            <w:pPr>
              <w:rPr>
                <w:rFonts w:ascii="宋体" w:hAnsi="宋体" w:cs="宋体"/>
                <w:sz w:val="24"/>
                <w:szCs w:val="24"/>
                <w:highlight w:val="none"/>
              </w:rPr>
            </w:pPr>
          </w:p>
        </w:tc>
        <w:tc>
          <w:tcPr>
            <w:tcW w:w="1417" w:type="dxa"/>
            <w:vAlign w:val="center"/>
          </w:tcPr>
          <w:p w14:paraId="27153275">
            <w:pPr>
              <w:spacing w:line="360" w:lineRule="auto"/>
              <w:rPr>
                <w:rFonts w:ascii="宋体" w:hAnsi="宋体"/>
                <w:b/>
                <w:sz w:val="24"/>
                <w:highlight w:val="none"/>
              </w:rPr>
            </w:pPr>
          </w:p>
        </w:tc>
      </w:tr>
      <w:tr w14:paraId="1154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050" w:type="dxa"/>
            <w:vAlign w:val="center"/>
          </w:tcPr>
          <w:p w14:paraId="3FBD4EA4">
            <w:pPr>
              <w:jc w:val="center"/>
              <w:rPr>
                <w:rFonts w:ascii="Tahoma" w:hAnsi="Tahoma"/>
                <w:sz w:val="24"/>
                <w:highlight w:val="none"/>
              </w:rPr>
            </w:pPr>
          </w:p>
        </w:tc>
        <w:tc>
          <w:tcPr>
            <w:tcW w:w="6038" w:type="dxa"/>
            <w:vAlign w:val="center"/>
          </w:tcPr>
          <w:p w14:paraId="5AD9545D">
            <w:pPr>
              <w:rPr>
                <w:rFonts w:ascii="宋体" w:hAnsi="宋体" w:cs="宋体"/>
                <w:sz w:val="24"/>
                <w:szCs w:val="24"/>
                <w:highlight w:val="none"/>
              </w:rPr>
            </w:pPr>
          </w:p>
        </w:tc>
        <w:tc>
          <w:tcPr>
            <w:tcW w:w="1417" w:type="dxa"/>
            <w:vAlign w:val="center"/>
          </w:tcPr>
          <w:p w14:paraId="27337299">
            <w:pPr>
              <w:spacing w:line="360" w:lineRule="auto"/>
              <w:rPr>
                <w:rFonts w:ascii="宋体" w:hAnsi="宋体"/>
                <w:b/>
                <w:sz w:val="24"/>
                <w:highlight w:val="none"/>
              </w:rPr>
            </w:pPr>
          </w:p>
        </w:tc>
      </w:tr>
      <w:tr w14:paraId="5F771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050" w:type="dxa"/>
            <w:vAlign w:val="center"/>
          </w:tcPr>
          <w:p w14:paraId="331309AF">
            <w:pPr>
              <w:jc w:val="center"/>
              <w:rPr>
                <w:rFonts w:ascii="Tahoma" w:hAnsi="Tahoma"/>
                <w:sz w:val="24"/>
                <w:highlight w:val="none"/>
              </w:rPr>
            </w:pPr>
          </w:p>
        </w:tc>
        <w:tc>
          <w:tcPr>
            <w:tcW w:w="6038" w:type="dxa"/>
            <w:vAlign w:val="center"/>
          </w:tcPr>
          <w:p w14:paraId="2A4A7FF3">
            <w:pPr>
              <w:rPr>
                <w:sz w:val="24"/>
                <w:highlight w:val="none"/>
              </w:rPr>
            </w:pPr>
          </w:p>
        </w:tc>
        <w:tc>
          <w:tcPr>
            <w:tcW w:w="1417" w:type="dxa"/>
            <w:vAlign w:val="center"/>
          </w:tcPr>
          <w:p w14:paraId="3F6E6C9D">
            <w:pPr>
              <w:spacing w:line="360" w:lineRule="auto"/>
              <w:rPr>
                <w:rFonts w:ascii="宋体" w:hAnsi="宋体"/>
                <w:b/>
                <w:sz w:val="24"/>
                <w:highlight w:val="none"/>
              </w:rPr>
            </w:pPr>
          </w:p>
        </w:tc>
      </w:tr>
    </w:tbl>
    <w:p w14:paraId="5F063225">
      <w:pPr>
        <w:spacing w:line="360" w:lineRule="auto"/>
        <w:jc w:val="center"/>
        <w:rPr>
          <w:rFonts w:ascii="宋体" w:hAnsi="宋体"/>
          <w:b/>
          <w:sz w:val="24"/>
          <w:highlight w:val="none"/>
        </w:rPr>
      </w:pPr>
    </w:p>
    <w:p w14:paraId="53582E60">
      <w:pPr>
        <w:spacing w:line="360" w:lineRule="auto"/>
        <w:jc w:val="center"/>
        <w:rPr>
          <w:rFonts w:ascii="宋体" w:hAnsi="宋体"/>
          <w:b/>
          <w:sz w:val="24"/>
          <w:highlight w:val="none"/>
        </w:rPr>
      </w:pPr>
    </w:p>
    <w:p w14:paraId="7C63F2F9">
      <w:pPr>
        <w:spacing w:line="360" w:lineRule="auto"/>
        <w:jc w:val="center"/>
        <w:rPr>
          <w:rFonts w:ascii="宋体" w:hAnsi="宋体"/>
          <w:b/>
          <w:sz w:val="24"/>
          <w:highlight w:val="none"/>
        </w:rPr>
      </w:pPr>
    </w:p>
    <w:p w14:paraId="690356FD">
      <w:pPr>
        <w:rPr>
          <w:rFonts w:ascii="宋体" w:hAnsi="宋体" w:cs="宋体"/>
          <w:sz w:val="24"/>
          <w:szCs w:val="24"/>
          <w:highlight w:val="none"/>
        </w:rPr>
      </w:pPr>
      <w:r>
        <w:rPr>
          <w:rFonts w:hint="eastAsia" w:ascii="宋体" w:hAnsi="宋体" w:cs="宋体"/>
          <w:sz w:val="24"/>
          <w:szCs w:val="24"/>
          <w:highlight w:val="none"/>
        </w:rPr>
        <w:br w:type="page"/>
      </w:r>
    </w:p>
    <w:p w14:paraId="4C72E1B9">
      <w:pPr>
        <w:spacing w:before="0" w:after="0" w:line="560" w:lineRule="exact"/>
        <w:rPr>
          <w:rFonts w:ascii="宋体" w:hAnsi="宋体" w:eastAsia="宋体" w:cs="宋体"/>
          <w:b/>
          <w:bCs/>
          <w:sz w:val="24"/>
          <w:szCs w:val="24"/>
          <w:highlight w:val="none"/>
        </w:rPr>
      </w:pPr>
      <w:bookmarkStart w:id="41" w:name="_Toc970"/>
      <w:r>
        <w:rPr>
          <w:rFonts w:hint="eastAsia" w:ascii="宋体" w:hAnsi="宋体" w:eastAsia="宋体" w:cs="宋体"/>
          <w:b/>
          <w:bCs/>
          <w:sz w:val="24"/>
          <w:szCs w:val="24"/>
          <w:highlight w:val="none"/>
        </w:rPr>
        <w:t>附件一</w:t>
      </w:r>
      <w:bookmarkEnd w:id="41"/>
    </w:p>
    <w:p w14:paraId="6DAB512B">
      <w:pPr>
        <w:spacing w:before="0" w:after="0" w:line="560" w:lineRule="exact"/>
        <w:ind w:firstLine="482" w:firstLineChars="200"/>
        <w:jc w:val="center"/>
        <w:rPr>
          <w:rFonts w:ascii="宋体" w:hAnsi="宋体" w:eastAsia="宋体" w:cs="宋体"/>
          <w:b/>
          <w:bCs/>
          <w:sz w:val="24"/>
          <w:szCs w:val="24"/>
          <w:highlight w:val="none"/>
        </w:rPr>
      </w:pPr>
      <w:bookmarkStart w:id="42" w:name="_Toc5601"/>
      <w:bookmarkStart w:id="43" w:name="_Toc10816"/>
      <w:bookmarkStart w:id="44" w:name="_Toc6891"/>
      <w:r>
        <w:rPr>
          <w:rFonts w:hint="eastAsia" w:ascii="宋体" w:hAnsi="宋体" w:eastAsia="宋体" w:cs="宋体"/>
          <w:b/>
          <w:bCs/>
          <w:sz w:val="24"/>
          <w:szCs w:val="24"/>
          <w:highlight w:val="none"/>
        </w:rPr>
        <w:t>1、报价单</w:t>
      </w:r>
      <w:bookmarkEnd w:id="42"/>
      <w:bookmarkEnd w:id="43"/>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71"/>
        <w:gridCol w:w="6667"/>
      </w:tblGrid>
      <w:tr w14:paraId="6710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 w:hRule="atLeast"/>
          <w:jc w:val="center"/>
        </w:trPr>
        <w:tc>
          <w:tcPr>
            <w:tcW w:w="2471" w:type="dxa"/>
            <w:tcBorders>
              <w:top w:val="single" w:color="auto" w:sz="4" w:space="0"/>
              <w:bottom w:val="single" w:color="auto" w:sz="4" w:space="0"/>
              <w:right w:val="single" w:color="auto" w:sz="4" w:space="0"/>
            </w:tcBorders>
            <w:vAlign w:val="center"/>
          </w:tcPr>
          <w:p w14:paraId="4148A92D">
            <w:pPr>
              <w:spacing w:line="360" w:lineRule="exact"/>
              <w:jc w:val="center"/>
              <w:rPr>
                <w:rFonts w:ascii="宋体" w:hAnsi="宋体" w:cs="宋体"/>
                <w:b/>
                <w:sz w:val="24"/>
                <w:highlight w:val="none"/>
              </w:rPr>
            </w:pPr>
            <w:r>
              <w:rPr>
                <w:rFonts w:hint="eastAsia" w:ascii="宋体" w:hAnsi="宋体" w:cs="宋体"/>
                <w:b/>
                <w:sz w:val="24"/>
                <w:highlight w:val="none"/>
              </w:rPr>
              <w:t>项目名称</w:t>
            </w:r>
          </w:p>
        </w:tc>
        <w:tc>
          <w:tcPr>
            <w:tcW w:w="6667" w:type="dxa"/>
            <w:tcBorders>
              <w:top w:val="single" w:color="auto" w:sz="4" w:space="0"/>
              <w:bottom w:val="single" w:color="auto" w:sz="4" w:space="0"/>
              <w:right w:val="single" w:color="auto" w:sz="4" w:space="0"/>
            </w:tcBorders>
            <w:vAlign w:val="center"/>
          </w:tcPr>
          <w:p w14:paraId="728724B3">
            <w:pPr>
              <w:spacing w:line="360" w:lineRule="exact"/>
              <w:jc w:val="center"/>
              <w:rPr>
                <w:rFonts w:ascii="宋体" w:hAnsi="宋体" w:cs="宋体"/>
                <w:bCs/>
                <w:sz w:val="24"/>
                <w:highlight w:val="none"/>
                <w:u w:val="single"/>
              </w:rPr>
            </w:pPr>
            <w:r>
              <w:rPr>
                <w:rFonts w:hint="eastAsia" w:ascii="宋体" w:hAnsi="宋体" w:cs="宋体"/>
                <w:bCs/>
                <w:sz w:val="24"/>
                <w:highlight w:val="none"/>
              </w:rPr>
              <w:t>某项目</w:t>
            </w:r>
          </w:p>
        </w:tc>
      </w:tr>
      <w:tr w14:paraId="730F6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B5C57E1">
            <w:pPr>
              <w:spacing w:line="360" w:lineRule="exact"/>
              <w:jc w:val="center"/>
              <w:rPr>
                <w:rFonts w:ascii="宋体" w:hAnsi="宋体" w:cs="宋体"/>
                <w:b/>
                <w:sz w:val="24"/>
                <w:highlight w:val="none"/>
              </w:rPr>
            </w:pPr>
            <w:r>
              <w:rPr>
                <w:rFonts w:hint="eastAsia" w:ascii="宋体" w:hAnsi="宋体" w:cs="宋体"/>
                <w:b/>
                <w:sz w:val="24"/>
                <w:highlight w:val="none"/>
              </w:rPr>
              <w:t>项目编号</w:t>
            </w:r>
          </w:p>
        </w:tc>
        <w:tc>
          <w:tcPr>
            <w:tcW w:w="6667" w:type="dxa"/>
            <w:tcBorders>
              <w:top w:val="nil"/>
            </w:tcBorders>
            <w:vAlign w:val="center"/>
          </w:tcPr>
          <w:p w14:paraId="6A95022B">
            <w:pPr>
              <w:jc w:val="center"/>
              <w:rPr>
                <w:rFonts w:ascii="宋体" w:hAnsi="宋体" w:cs="宋体"/>
                <w:bCs/>
                <w:sz w:val="24"/>
                <w:highlight w:val="none"/>
              </w:rPr>
            </w:pPr>
            <w:r>
              <w:rPr>
                <w:rFonts w:hint="eastAsia" w:ascii="宋体" w:hAnsi="宋体" w:cs="宋体"/>
                <w:bCs/>
                <w:sz w:val="24"/>
                <w:highlight w:val="none"/>
              </w:rPr>
              <w:t>某编号</w:t>
            </w:r>
          </w:p>
        </w:tc>
      </w:tr>
      <w:tr w14:paraId="060F8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7918A61">
            <w:pPr>
              <w:spacing w:line="360" w:lineRule="exact"/>
              <w:jc w:val="center"/>
              <w:rPr>
                <w:rFonts w:ascii="宋体" w:hAnsi="宋体" w:cs="宋体"/>
                <w:b/>
                <w:sz w:val="24"/>
                <w:highlight w:val="none"/>
              </w:rPr>
            </w:pPr>
            <w:r>
              <w:rPr>
                <w:rFonts w:hint="eastAsia" w:ascii="宋体" w:hAnsi="宋体" w:cs="宋体"/>
                <w:b/>
                <w:sz w:val="24"/>
                <w:highlight w:val="none"/>
              </w:rPr>
              <w:t>响应供应商全称</w:t>
            </w:r>
          </w:p>
        </w:tc>
        <w:tc>
          <w:tcPr>
            <w:tcW w:w="6667" w:type="dxa"/>
            <w:tcBorders>
              <w:top w:val="nil"/>
            </w:tcBorders>
            <w:vAlign w:val="center"/>
          </w:tcPr>
          <w:p w14:paraId="6447D338">
            <w:pPr>
              <w:spacing w:line="360" w:lineRule="auto"/>
              <w:rPr>
                <w:rFonts w:ascii="宋体" w:hAnsi="宋体" w:cs="宋体"/>
                <w:bCs/>
                <w:sz w:val="24"/>
                <w:highlight w:val="none"/>
              </w:rPr>
            </w:pPr>
          </w:p>
        </w:tc>
      </w:tr>
      <w:tr w14:paraId="05C8C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3C80CC01">
            <w:pPr>
              <w:spacing w:line="360" w:lineRule="exact"/>
              <w:jc w:val="center"/>
              <w:rPr>
                <w:rFonts w:ascii="宋体" w:hAnsi="宋体" w:cs="宋体"/>
                <w:b/>
                <w:sz w:val="24"/>
                <w:highlight w:val="none"/>
              </w:rPr>
            </w:pPr>
            <w:r>
              <w:rPr>
                <w:rFonts w:hint="eastAsia" w:ascii="宋体" w:hAnsi="宋体" w:cs="宋体"/>
                <w:b/>
                <w:sz w:val="24"/>
                <w:highlight w:val="none"/>
              </w:rPr>
              <w:t>响应范围</w:t>
            </w:r>
          </w:p>
        </w:tc>
        <w:tc>
          <w:tcPr>
            <w:tcW w:w="6667" w:type="dxa"/>
            <w:tcBorders>
              <w:top w:val="nil"/>
            </w:tcBorders>
            <w:vAlign w:val="center"/>
          </w:tcPr>
          <w:p w14:paraId="5F0D8826">
            <w:pPr>
              <w:spacing w:line="360" w:lineRule="exact"/>
              <w:rPr>
                <w:rFonts w:ascii="宋体" w:hAnsi="宋体" w:cs="宋体"/>
                <w:bCs/>
                <w:sz w:val="24"/>
                <w:highlight w:val="none"/>
              </w:rPr>
            </w:pPr>
            <w:r>
              <w:rPr>
                <w:rFonts w:hint="eastAsia" w:ascii="宋体" w:hAnsi="宋体" w:cs="宋体"/>
                <w:bCs/>
                <w:sz w:val="24"/>
                <w:highlight w:val="none"/>
              </w:rPr>
              <w:t>全部</w:t>
            </w:r>
          </w:p>
        </w:tc>
      </w:tr>
      <w:tr w14:paraId="5BAC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0" w:hRule="atLeast"/>
          <w:jc w:val="center"/>
        </w:trPr>
        <w:tc>
          <w:tcPr>
            <w:tcW w:w="2471" w:type="dxa"/>
            <w:tcBorders>
              <w:top w:val="nil"/>
            </w:tcBorders>
            <w:vAlign w:val="center"/>
          </w:tcPr>
          <w:p w14:paraId="6BA29AF3">
            <w:pPr>
              <w:spacing w:line="360" w:lineRule="exact"/>
              <w:jc w:val="center"/>
              <w:rPr>
                <w:rFonts w:ascii="宋体" w:hAnsi="宋体" w:cs="宋体"/>
                <w:b/>
                <w:sz w:val="24"/>
                <w:highlight w:val="none"/>
              </w:rPr>
            </w:pPr>
            <w:r>
              <w:rPr>
                <w:rFonts w:hint="eastAsia" w:ascii="宋体" w:hAnsi="宋体" w:cs="宋体"/>
                <w:b/>
                <w:sz w:val="24"/>
                <w:highlight w:val="none"/>
              </w:rPr>
              <w:t>响应报价</w:t>
            </w:r>
          </w:p>
        </w:tc>
        <w:tc>
          <w:tcPr>
            <w:tcW w:w="6667" w:type="dxa"/>
            <w:tcBorders>
              <w:top w:val="nil"/>
            </w:tcBorders>
            <w:vAlign w:val="center"/>
          </w:tcPr>
          <w:p w14:paraId="3F70942C">
            <w:pPr>
              <w:spacing w:line="560" w:lineRule="exact"/>
              <w:rPr>
                <w:rFonts w:hint="eastAsia" w:ascii="宋体" w:hAnsi="宋体" w:cs="宋体"/>
                <w:sz w:val="24"/>
                <w:szCs w:val="24"/>
                <w:highlight w:val="none"/>
              </w:rPr>
            </w:pPr>
            <w:r>
              <w:rPr>
                <w:rFonts w:hint="eastAsia" w:ascii="宋体" w:hAnsi="宋体" w:cs="宋体"/>
                <w:sz w:val="24"/>
                <w:szCs w:val="24"/>
                <w:highlight w:val="none"/>
              </w:rPr>
              <w:t>大写：</w:t>
            </w:r>
            <w:r>
              <w:rPr>
                <w:rFonts w:hint="eastAsia" w:ascii="宋体" w:hAnsi="宋体" w:cs="宋体"/>
                <w:sz w:val="24"/>
                <w:szCs w:val="24"/>
                <w:highlight w:val="none"/>
                <w:u w:val="single"/>
              </w:rPr>
              <w:t xml:space="preserve">        </w:t>
            </w:r>
            <w:r>
              <w:rPr>
                <w:rFonts w:hint="eastAsia" w:ascii="宋体" w:hAnsi="宋体" w:cs="宋体"/>
                <w:sz w:val="24"/>
                <w:szCs w:val="24"/>
                <w:highlight w:val="none"/>
              </w:rPr>
              <w:t xml:space="preserve"> </w:t>
            </w:r>
          </w:p>
          <w:p w14:paraId="2A3E7D14">
            <w:pPr>
              <w:spacing w:line="560" w:lineRule="exact"/>
              <w:rPr>
                <w:rFonts w:ascii="Calibri" w:hAnsi="Calibri"/>
                <w:sz w:val="24"/>
                <w:szCs w:val="24"/>
                <w:highlight w:val="none"/>
              </w:rPr>
            </w:pPr>
            <w:r>
              <w:rPr>
                <w:rFonts w:hint="eastAsia" w:ascii="宋体" w:hAnsi="宋体" w:cs="宋体"/>
                <w:sz w:val="24"/>
                <w:szCs w:val="24"/>
                <w:highlight w:val="none"/>
                <w:lang w:eastAsia="zh-CN"/>
              </w:rPr>
              <w:t>小写：</w:t>
            </w:r>
            <w:r>
              <w:rPr>
                <w:rFonts w:hint="eastAsia" w:ascii="宋体" w:hAnsi="宋体" w:cs="宋体"/>
                <w:sz w:val="24"/>
                <w:szCs w:val="24"/>
                <w:highlight w:val="none"/>
                <w:lang w:val="en-US" w:eastAsia="zh-CN"/>
              </w:rPr>
              <w:t xml:space="preserve">      </w:t>
            </w:r>
            <w:r>
              <w:rPr>
                <w:rFonts w:hint="eastAsia" w:ascii="宋体" w:hAnsi="宋体" w:cs="宋体"/>
                <w:sz w:val="24"/>
                <w:szCs w:val="24"/>
                <w:highlight w:val="none"/>
              </w:rPr>
              <w:t xml:space="preserve">（精确到小数点后两位，可编辑） </w:t>
            </w:r>
          </w:p>
          <w:p w14:paraId="192A878D">
            <w:pPr>
              <w:spacing w:line="360" w:lineRule="auto"/>
              <w:ind w:right="-670"/>
              <w:rPr>
                <w:rFonts w:ascii="宋体" w:hAnsi="宋体" w:cs="宋体"/>
                <w:bCs/>
                <w:sz w:val="24"/>
                <w:highlight w:val="none"/>
              </w:rPr>
            </w:pPr>
          </w:p>
        </w:tc>
      </w:tr>
      <w:tr w14:paraId="3EB9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08" w:hRule="atLeast"/>
          <w:jc w:val="center"/>
        </w:trPr>
        <w:tc>
          <w:tcPr>
            <w:tcW w:w="2471" w:type="dxa"/>
            <w:tcBorders>
              <w:top w:val="nil"/>
            </w:tcBorders>
            <w:vAlign w:val="center"/>
          </w:tcPr>
          <w:p w14:paraId="0D1D92B3">
            <w:pPr>
              <w:spacing w:line="360" w:lineRule="auto"/>
              <w:jc w:val="center"/>
              <w:rPr>
                <w:rFonts w:ascii="宋体" w:hAnsi="宋体" w:cs="宋体"/>
                <w:b/>
                <w:sz w:val="24"/>
                <w:highlight w:val="none"/>
              </w:rPr>
            </w:pPr>
            <w:r>
              <w:rPr>
                <w:rFonts w:hint="eastAsia" w:ascii="宋体" w:hAnsi="宋体" w:cs="宋体"/>
                <w:b/>
                <w:sz w:val="24"/>
                <w:highlight w:val="none"/>
              </w:rPr>
              <w:t>备注</w:t>
            </w:r>
          </w:p>
        </w:tc>
        <w:tc>
          <w:tcPr>
            <w:tcW w:w="6667" w:type="dxa"/>
            <w:tcBorders>
              <w:top w:val="nil"/>
            </w:tcBorders>
            <w:vAlign w:val="center"/>
          </w:tcPr>
          <w:p w14:paraId="50C5E72D">
            <w:pPr>
              <w:spacing w:line="360" w:lineRule="auto"/>
              <w:rPr>
                <w:rFonts w:ascii="宋体" w:hAnsi="宋体" w:cs="宋体"/>
                <w:bCs/>
                <w:sz w:val="24"/>
                <w:highlight w:val="none"/>
              </w:rPr>
            </w:pPr>
          </w:p>
        </w:tc>
      </w:tr>
    </w:tbl>
    <w:p w14:paraId="091FEC5F">
      <w:pPr>
        <w:rPr>
          <w:rFonts w:ascii="宋体" w:hAnsi="宋体" w:cs="宋体"/>
          <w:sz w:val="24"/>
          <w:szCs w:val="24"/>
          <w:highlight w:val="none"/>
        </w:rPr>
      </w:pPr>
    </w:p>
    <w:p w14:paraId="3A7362E0">
      <w:pPr>
        <w:spacing w:line="360" w:lineRule="auto"/>
        <w:rPr>
          <w:rFonts w:ascii="宋体" w:hAnsi="宋体" w:eastAsia="宋体" w:cs="宋体"/>
          <w:b/>
          <w:bCs/>
          <w:sz w:val="24"/>
          <w:highlight w:val="none"/>
        </w:rPr>
      </w:pPr>
    </w:p>
    <w:p w14:paraId="6D4443E8">
      <w:pPr>
        <w:spacing w:line="560" w:lineRule="exact"/>
        <w:ind w:firstLine="482" w:firstLineChars="200"/>
        <w:rPr>
          <w:rFonts w:ascii="宋体" w:hAnsi="宋体" w:eastAsia="宋体" w:cs="宋体"/>
          <w:b/>
          <w:bCs/>
          <w:sz w:val="24"/>
          <w:szCs w:val="28"/>
          <w:highlight w:val="none"/>
        </w:rPr>
      </w:pPr>
      <w:r>
        <w:rPr>
          <w:rFonts w:hint="eastAsia" w:ascii="宋体" w:hAnsi="宋体" w:eastAsia="宋体" w:cs="宋体"/>
          <w:b/>
          <w:bCs/>
          <w:sz w:val="24"/>
          <w:highlight w:val="none"/>
        </w:rPr>
        <w:t>供应商盖章：</w:t>
      </w:r>
    </w:p>
    <w:p w14:paraId="6D2D9C7B">
      <w:pPr>
        <w:spacing w:line="560" w:lineRule="exact"/>
        <w:ind w:firstLine="482" w:firstLineChars="200"/>
        <w:rPr>
          <w:rFonts w:ascii="宋体" w:hAnsi="宋体"/>
          <w:b/>
          <w:bCs/>
          <w:sz w:val="24"/>
          <w:szCs w:val="28"/>
          <w:highlight w:val="none"/>
        </w:rPr>
      </w:pPr>
      <w:r>
        <w:rPr>
          <w:rFonts w:hint="eastAsia" w:ascii="宋体" w:hAnsi="宋体"/>
          <w:b/>
          <w:bCs/>
          <w:sz w:val="24"/>
          <w:szCs w:val="28"/>
          <w:highlight w:val="none"/>
        </w:rPr>
        <w:t>日  期：   年   月   日</w:t>
      </w:r>
    </w:p>
    <w:p w14:paraId="5E305558">
      <w:pPr>
        <w:spacing w:line="360" w:lineRule="auto"/>
        <w:rPr>
          <w:rFonts w:ascii="宋体" w:hAnsi="宋体"/>
          <w:b/>
          <w:sz w:val="24"/>
          <w:szCs w:val="24"/>
          <w:highlight w:val="none"/>
        </w:rPr>
      </w:pPr>
    </w:p>
    <w:p w14:paraId="325F78DA">
      <w:pPr>
        <w:wordWrap w:val="0"/>
        <w:spacing w:before="0" w:after="0" w:line="520" w:lineRule="exact"/>
        <w:ind w:firstLine="480" w:firstLineChars="200"/>
        <w:rPr>
          <w:rFonts w:ascii="宋体" w:hAnsi="宋体" w:eastAsia="宋体" w:cs="宋体"/>
          <w:sz w:val="24"/>
          <w:szCs w:val="24"/>
          <w:highlight w:val="none"/>
        </w:rPr>
      </w:pPr>
    </w:p>
    <w:p w14:paraId="79387C35">
      <w:pPr>
        <w:rPr>
          <w:rFonts w:ascii="宋体" w:hAnsi="宋体" w:cs="宋体"/>
          <w:sz w:val="24"/>
          <w:szCs w:val="24"/>
          <w:highlight w:val="none"/>
        </w:rPr>
      </w:pPr>
    </w:p>
    <w:p w14:paraId="41A060DE">
      <w:pPr>
        <w:wordWrap w:val="0"/>
        <w:spacing w:before="0" w:after="0" w:line="560" w:lineRule="exact"/>
        <w:rPr>
          <w:rFonts w:hint="eastAsia" w:ascii="宋体" w:hAnsi="宋体" w:eastAsia="宋体" w:cs="宋体"/>
          <w:sz w:val="24"/>
          <w:szCs w:val="24"/>
          <w:highlight w:val="none"/>
        </w:rPr>
      </w:pPr>
    </w:p>
    <w:p w14:paraId="20A05DD7">
      <w:pPr>
        <w:wordWrap w:val="0"/>
        <w:spacing w:before="0" w:after="0" w:line="560" w:lineRule="exact"/>
        <w:rPr>
          <w:rFonts w:hint="eastAsia" w:ascii="宋体" w:hAnsi="宋体" w:eastAsia="宋体" w:cs="宋体"/>
          <w:sz w:val="24"/>
          <w:szCs w:val="24"/>
          <w:highlight w:val="none"/>
        </w:rPr>
      </w:pPr>
    </w:p>
    <w:p w14:paraId="37FB4A2A">
      <w:pPr>
        <w:wordWrap w:val="0"/>
        <w:spacing w:before="0" w:after="0" w:line="560" w:lineRule="exact"/>
        <w:rPr>
          <w:rFonts w:hint="eastAsia" w:ascii="宋体" w:hAnsi="宋体" w:eastAsia="宋体" w:cs="宋体"/>
          <w:sz w:val="24"/>
          <w:szCs w:val="24"/>
          <w:highlight w:val="none"/>
        </w:rPr>
      </w:pPr>
    </w:p>
    <w:p w14:paraId="66894D81">
      <w:pPr>
        <w:wordWrap w:val="0"/>
        <w:spacing w:before="0" w:after="0" w:line="560" w:lineRule="exact"/>
        <w:rPr>
          <w:rFonts w:hint="eastAsia" w:ascii="宋体" w:hAnsi="宋体" w:eastAsia="宋体" w:cs="宋体"/>
          <w:sz w:val="24"/>
          <w:szCs w:val="24"/>
          <w:highlight w:val="none"/>
        </w:rPr>
      </w:pPr>
    </w:p>
    <w:p w14:paraId="1B4D2F4B">
      <w:pPr>
        <w:wordWrap w:val="0"/>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附件二</w:t>
      </w:r>
      <w:bookmarkEnd w:id="44"/>
    </w:p>
    <w:p w14:paraId="7D1B6BA8">
      <w:pPr>
        <w:spacing w:before="0" w:after="0" w:line="560" w:lineRule="exact"/>
        <w:jc w:val="center"/>
        <w:rPr>
          <w:rFonts w:ascii="宋体" w:hAnsi="宋体" w:eastAsia="宋体" w:cs="宋体"/>
          <w:b/>
          <w:bCs/>
          <w:sz w:val="24"/>
          <w:szCs w:val="24"/>
          <w:highlight w:val="none"/>
        </w:rPr>
      </w:pPr>
      <w:bookmarkStart w:id="45" w:name="_Toc31020"/>
      <w:bookmarkStart w:id="46" w:name="_Toc17280"/>
      <w:r>
        <w:rPr>
          <w:rFonts w:hint="eastAsia" w:ascii="宋体" w:hAnsi="宋体" w:eastAsia="宋体" w:cs="宋体"/>
          <w:b/>
          <w:bCs/>
          <w:sz w:val="24"/>
          <w:szCs w:val="24"/>
          <w:highlight w:val="none"/>
        </w:rPr>
        <w:t>供应商基本信息</w:t>
      </w:r>
      <w:bookmarkEnd w:id="45"/>
      <w:bookmarkEnd w:id="46"/>
    </w:p>
    <w:p w14:paraId="561C63F0">
      <w:pPr>
        <w:spacing w:line="360" w:lineRule="auto"/>
        <w:jc w:val="center"/>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2"/>
          <w:szCs w:val="22"/>
          <w:highlight w:val="none"/>
          <w:lang w:val="en-US" w:eastAsia="zh-CN" w:bidi="ar-SA"/>
        </w:rPr>
        <w:t xml:space="preserve">  后附营业执照等资料原件复印件或打印件。</w:t>
      </w:r>
    </w:p>
    <w:p w14:paraId="24DFB58B">
      <w:pPr>
        <w:wordWrap w:val="0"/>
        <w:spacing w:before="0" w:after="0" w:line="560" w:lineRule="exact"/>
        <w:rPr>
          <w:rFonts w:hint="eastAsia" w:ascii="宋体" w:hAnsi="宋体" w:eastAsia="宋体" w:cs="宋体"/>
          <w:sz w:val="24"/>
          <w:szCs w:val="24"/>
          <w:highlight w:val="none"/>
        </w:rPr>
      </w:pPr>
      <w:bookmarkStart w:id="47" w:name="_Toc30812"/>
    </w:p>
    <w:p w14:paraId="20BB9DD2">
      <w:pPr>
        <w:wordWrap w:val="0"/>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附件三</w:t>
      </w:r>
      <w:bookmarkEnd w:id="47"/>
    </w:p>
    <w:p w14:paraId="33FADDD7">
      <w:pPr>
        <w:spacing w:before="0" w:after="0" w:line="560" w:lineRule="exact"/>
        <w:jc w:val="center"/>
        <w:rPr>
          <w:rFonts w:ascii="宋体" w:hAnsi="宋体" w:eastAsia="宋体" w:cs="宋体"/>
          <w:sz w:val="24"/>
          <w:szCs w:val="24"/>
          <w:highlight w:val="none"/>
        </w:rPr>
      </w:pPr>
      <w:bookmarkStart w:id="48" w:name="_Toc10696"/>
      <w:bookmarkStart w:id="49" w:name="_Toc3234"/>
      <w:r>
        <w:rPr>
          <w:rFonts w:hint="eastAsia" w:ascii="宋体" w:hAnsi="宋体" w:eastAsia="宋体" w:cs="宋体"/>
          <w:b/>
          <w:bCs/>
          <w:sz w:val="24"/>
          <w:szCs w:val="24"/>
          <w:highlight w:val="none"/>
        </w:rPr>
        <w:t>谈判授权书</w:t>
      </w:r>
      <w:bookmarkEnd w:id="48"/>
      <w:bookmarkEnd w:id="49"/>
    </w:p>
    <w:p w14:paraId="52C7990E">
      <w:pPr>
        <w:rPr>
          <w:rFonts w:ascii="宋体" w:hAnsi="宋体"/>
          <w:sz w:val="24"/>
          <w:szCs w:val="24"/>
          <w:highlight w:val="none"/>
        </w:rPr>
      </w:pPr>
    </w:p>
    <w:p w14:paraId="79D7AD87">
      <w:pPr>
        <w:spacing w:line="480" w:lineRule="auto"/>
        <w:jc w:val="left"/>
        <w:rPr>
          <w:rFonts w:ascii="宋体" w:hAnsi="宋体"/>
          <w:sz w:val="24"/>
          <w:szCs w:val="24"/>
          <w:highlight w:val="none"/>
        </w:rPr>
      </w:pPr>
      <w:r>
        <w:rPr>
          <w:rFonts w:hint="eastAsia" w:ascii="宋体" w:hAnsi="宋体"/>
          <w:sz w:val="24"/>
          <w:szCs w:val="24"/>
          <w:highlight w:val="none"/>
        </w:rPr>
        <w:t>致：_________________</w:t>
      </w:r>
    </w:p>
    <w:p w14:paraId="76FF5841">
      <w:pP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本授权书声明：</w:t>
      </w:r>
      <w:r>
        <w:rPr>
          <w:rFonts w:hint="eastAsia" w:ascii="宋体" w:hAnsi="宋体"/>
          <w:sz w:val="24"/>
          <w:szCs w:val="24"/>
          <w:highlight w:val="none"/>
          <w:u w:val="single"/>
        </w:rPr>
        <w:t xml:space="preserve">                </w:t>
      </w:r>
      <w:r>
        <w:rPr>
          <w:rFonts w:hint="eastAsia" w:ascii="宋体" w:hAnsi="宋体"/>
          <w:sz w:val="24"/>
          <w:szCs w:val="24"/>
          <w:highlight w:val="none"/>
        </w:rPr>
        <w:t>（供应商名称）的</w:t>
      </w:r>
      <w:r>
        <w:rPr>
          <w:rFonts w:hint="eastAsia" w:ascii="宋体" w:hAnsi="宋体"/>
          <w:sz w:val="24"/>
          <w:szCs w:val="24"/>
          <w:highlight w:val="none"/>
          <w:u w:val="single"/>
        </w:rPr>
        <w:t xml:space="preserve">        </w:t>
      </w:r>
      <w:r>
        <w:rPr>
          <w:rFonts w:hint="eastAsia" w:ascii="宋体" w:hAnsi="宋体"/>
          <w:sz w:val="24"/>
          <w:szCs w:val="24"/>
          <w:highlight w:val="none"/>
        </w:rPr>
        <w:t>（法定代表人姓名）授权</w:t>
      </w:r>
      <w:r>
        <w:rPr>
          <w:rFonts w:hint="eastAsia" w:ascii="宋体" w:hAnsi="宋体"/>
          <w:sz w:val="24"/>
          <w:szCs w:val="24"/>
          <w:highlight w:val="none"/>
          <w:u w:val="single"/>
        </w:rPr>
        <w:t xml:space="preserve">         </w:t>
      </w:r>
      <w:r>
        <w:rPr>
          <w:rFonts w:hint="eastAsia" w:ascii="宋体" w:hAnsi="宋体"/>
          <w:sz w:val="24"/>
          <w:szCs w:val="24"/>
          <w:highlight w:val="none"/>
        </w:rPr>
        <w:t>（被授权人的姓名）为我方就</w:t>
      </w:r>
      <w:r>
        <w:rPr>
          <w:rFonts w:hint="eastAsia" w:ascii="宋体" w:hAnsi="宋体"/>
          <w:sz w:val="24"/>
          <w:szCs w:val="24"/>
          <w:highlight w:val="none"/>
          <w:u w:val="single"/>
        </w:rPr>
        <w:t xml:space="preserve">         </w:t>
      </w:r>
      <w:r>
        <w:rPr>
          <w:rFonts w:hint="eastAsia" w:ascii="宋体" w:hAnsi="宋体"/>
          <w:sz w:val="24"/>
          <w:szCs w:val="24"/>
          <w:highlight w:val="none"/>
        </w:rPr>
        <w:t>编号</w:t>
      </w:r>
      <w:r>
        <w:rPr>
          <w:rFonts w:hint="eastAsia" w:ascii="宋体" w:hAnsi="宋体"/>
          <w:sz w:val="24"/>
          <w:szCs w:val="24"/>
          <w:highlight w:val="none"/>
          <w:u w:val="single"/>
        </w:rPr>
        <w:t xml:space="preserve">                </w:t>
      </w:r>
      <w:r>
        <w:rPr>
          <w:rFonts w:hint="eastAsia" w:ascii="宋体" w:hAnsi="宋体"/>
          <w:sz w:val="24"/>
          <w:szCs w:val="24"/>
          <w:highlight w:val="none"/>
        </w:rPr>
        <w:t>项目谈判活动的合法代理人，以我方名义全权处理与该项目谈判、签订合同以及合同执行有关的一切事务。</w:t>
      </w:r>
    </w:p>
    <w:p w14:paraId="2BA560C3">
      <w:pP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特此声明。</w:t>
      </w:r>
    </w:p>
    <w:p w14:paraId="0024DFED">
      <w:pPr>
        <w:spacing w:line="360" w:lineRule="auto"/>
        <w:jc w:val="left"/>
        <w:rPr>
          <w:rFonts w:ascii="宋体" w:hAnsi="宋体"/>
          <w:sz w:val="24"/>
          <w:szCs w:val="24"/>
          <w:highlight w:val="none"/>
        </w:rPr>
      </w:pPr>
    </w:p>
    <w:p w14:paraId="09C9178C">
      <w:pPr>
        <w:spacing w:line="360" w:lineRule="auto"/>
        <w:ind w:firstLine="1084" w:firstLineChars="450"/>
        <w:jc w:val="left"/>
        <w:rPr>
          <w:rFonts w:ascii="宋体" w:hAnsi="宋体"/>
          <w:sz w:val="24"/>
          <w:szCs w:val="24"/>
          <w:highlight w:val="none"/>
          <w:u w:val="single"/>
        </w:rPr>
      </w:pPr>
      <w:r>
        <w:rPr>
          <w:rFonts w:hint="eastAsia" w:ascii="宋体" w:hAnsi="宋体"/>
          <w:b/>
          <w:bCs/>
          <w:sz w:val="24"/>
          <w:szCs w:val="24"/>
          <w:highlight w:val="none"/>
        </w:rPr>
        <w:t>法定代表人签字：</w:t>
      </w:r>
      <w:r>
        <w:rPr>
          <w:rFonts w:hint="eastAsia" w:ascii="宋体" w:hAnsi="宋体"/>
          <w:sz w:val="24"/>
          <w:szCs w:val="24"/>
          <w:highlight w:val="none"/>
          <w:u w:val="single"/>
        </w:rPr>
        <w:t xml:space="preserve">                            </w:t>
      </w:r>
    </w:p>
    <w:p w14:paraId="42A633BB">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5B8CC3D0">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7C86BCD">
      <w:pP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40F90873">
      <w:pPr>
        <w:spacing w:line="360" w:lineRule="auto"/>
        <w:ind w:firstLine="1084" w:firstLineChars="450"/>
        <w:jc w:val="left"/>
        <w:rPr>
          <w:rFonts w:ascii="宋体" w:hAnsi="宋体"/>
          <w:b/>
          <w:bCs/>
          <w:sz w:val="24"/>
          <w:szCs w:val="24"/>
          <w:highlight w:val="none"/>
        </w:rPr>
      </w:pPr>
    </w:p>
    <w:p w14:paraId="3925DDFE">
      <w:pPr>
        <w:spacing w:line="360" w:lineRule="auto"/>
        <w:ind w:firstLine="1084" w:firstLineChars="450"/>
        <w:jc w:val="left"/>
        <w:rPr>
          <w:rFonts w:ascii="宋体" w:hAnsi="宋体"/>
          <w:sz w:val="24"/>
          <w:szCs w:val="24"/>
          <w:highlight w:val="none"/>
        </w:rPr>
      </w:pPr>
      <w:r>
        <w:rPr>
          <w:rFonts w:hint="eastAsia" w:ascii="宋体" w:hAnsi="宋体"/>
          <w:b/>
          <w:bCs/>
          <w:sz w:val="24"/>
          <w:szCs w:val="24"/>
          <w:highlight w:val="none"/>
        </w:rPr>
        <w:t>代理人（被授权人）：</w:t>
      </w:r>
      <w:r>
        <w:rPr>
          <w:rFonts w:hint="eastAsia" w:ascii="宋体" w:hAnsi="宋体"/>
          <w:sz w:val="24"/>
          <w:szCs w:val="24"/>
          <w:highlight w:val="none"/>
          <w:u w:val="single"/>
        </w:rPr>
        <w:t xml:space="preserve">                     </w:t>
      </w:r>
    </w:p>
    <w:p w14:paraId="50FDB96C">
      <w:pPr>
        <w:spacing w:line="360" w:lineRule="auto"/>
        <w:jc w:val="left"/>
        <w:rPr>
          <w:rFonts w:ascii="宋体" w:hAnsi="宋体"/>
          <w:sz w:val="24"/>
          <w:szCs w:val="24"/>
          <w:highlight w:val="non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6A7823E8">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0D807F0">
      <w:pP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1E36EED9">
      <w:pPr>
        <w:wordWrap w:val="0"/>
        <w:spacing w:line="360" w:lineRule="auto"/>
        <w:jc w:val="right"/>
        <w:rPr>
          <w:rFonts w:ascii="宋体" w:hAnsi="宋体"/>
          <w:sz w:val="24"/>
          <w:szCs w:val="24"/>
          <w:highlight w:val="none"/>
        </w:rPr>
      </w:pPr>
      <w:r>
        <w:rPr>
          <w:rFonts w:hint="eastAsia" w:ascii="宋体" w:hAnsi="宋体"/>
          <w:sz w:val="24"/>
          <w:szCs w:val="24"/>
          <w:highlight w:val="none"/>
        </w:rPr>
        <w:t xml:space="preserve">                                                      </w:t>
      </w:r>
    </w:p>
    <w:p w14:paraId="4F36BC60">
      <w:pP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18E4F205">
      <w:pP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1ED2CF6">
      <w:pPr>
        <w:spacing w:line="360" w:lineRule="auto"/>
        <w:rPr>
          <w:rFonts w:hint="eastAsia" w:ascii="宋体" w:hAnsi="宋体" w:cs="宋体"/>
          <w:b/>
          <w:sz w:val="24"/>
          <w:szCs w:val="24"/>
          <w:highlight w:val="none"/>
        </w:rPr>
      </w:pPr>
      <w:bookmarkStart w:id="50" w:name="_Toc15172"/>
    </w:p>
    <w:p w14:paraId="770FA095">
      <w:pPr>
        <w:spacing w:line="360" w:lineRule="auto"/>
        <w:rPr>
          <w:rFonts w:ascii="宋体" w:hAnsi="宋体" w:cs="宋体"/>
          <w:b/>
          <w:sz w:val="24"/>
          <w:szCs w:val="24"/>
          <w:highlight w:val="none"/>
        </w:rPr>
      </w:pPr>
      <w:r>
        <w:rPr>
          <w:rFonts w:hint="eastAsia" w:ascii="宋体" w:hAnsi="宋体" w:cs="宋体"/>
          <w:b/>
          <w:sz w:val="24"/>
          <w:szCs w:val="24"/>
          <w:highlight w:val="none"/>
        </w:rPr>
        <w:t>法定代表人身份证复印件</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21242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4" w:hRule="atLeast"/>
          <w:jc w:val="center"/>
        </w:trPr>
        <w:tc>
          <w:tcPr>
            <w:tcW w:w="7578" w:type="dxa"/>
          </w:tcPr>
          <w:p w14:paraId="002AF968">
            <w:pPr>
              <w:spacing w:line="240" w:lineRule="atLeast"/>
              <w:rPr>
                <w:rFonts w:ascii="宋体" w:hAnsi="宋体" w:cs="宋体"/>
                <w:b/>
                <w:sz w:val="24"/>
                <w:szCs w:val="24"/>
                <w:highlight w:val="none"/>
              </w:rPr>
            </w:pPr>
          </w:p>
          <w:p w14:paraId="67F49B5D">
            <w:pP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此处贴法人代表身份证正面</w:t>
            </w:r>
          </w:p>
          <w:p w14:paraId="32254599">
            <w:pPr>
              <w:spacing w:line="240" w:lineRule="atLeast"/>
              <w:rPr>
                <w:rFonts w:ascii="宋体" w:hAnsi="宋体" w:cs="宋体"/>
                <w:b/>
                <w:sz w:val="24"/>
                <w:szCs w:val="24"/>
                <w:highlight w:val="none"/>
              </w:rPr>
            </w:pPr>
          </w:p>
          <w:p w14:paraId="3F34C23F">
            <w:pPr>
              <w:spacing w:line="240" w:lineRule="atLeast"/>
              <w:rPr>
                <w:rFonts w:ascii="宋体" w:hAnsi="宋体" w:cs="宋体"/>
                <w:b/>
                <w:sz w:val="24"/>
                <w:szCs w:val="24"/>
                <w:highlight w:val="none"/>
              </w:rPr>
            </w:pPr>
          </w:p>
          <w:p w14:paraId="3E1E60AB">
            <w:pPr>
              <w:spacing w:line="240" w:lineRule="atLeast"/>
              <w:rPr>
                <w:rFonts w:ascii="宋体" w:hAnsi="宋体" w:cs="宋体"/>
                <w:b/>
                <w:sz w:val="24"/>
                <w:szCs w:val="24"/>
                <w:highlight w:val="none"/>
              </w:rPr>
            </w:pPr>
          </w:p>
        </w:tc>
      </w:tr>
    </w:tbl>
    <w:p w14:paraId="77EBBB67">
      <w:pPr>
        <w:spacing w:line="240" w:lineRule="atLeast"/>
        <w:rPr>
          <w:rFonts w:ascii="宋体" w:hAnsi="宋体" w:cs="宋体"/>
          <w:b/>
          <w:sz w:val="24"/>
          <w:szCs w:val="24"/>
          <w:highlight w:val="none"/>
        </w:rPr>
      </w:pP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4BBF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5" w:hRule="atLeast"/>
          <w:jc w:val="center"/>
        </w:trPr>
        <w:tc>
          <w:tcPr>
            <w:tcW w:w="7578" w:type="dxa"/>
          </w:tcPr>
          <w:p w14:paraId="24E9A747">
            <w:pPr>
              <w:spacing w:line="240" w:lineRule="atLeast"/>
              <w:rPr>
                <w:rFonts w:ascii="宋体" w:hAnsi="宋体" w:cs="宋体"/>
                <w:b/>
                <w:sz w:val="24"/>
                <w:szCs w:val="24"/>
                <w:highlight w:val="none"/>
              </w:rPr>
            </w:pPr>
          </w:p>
          <w:p w14:paraId="5C8C5194">
            <w:pP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此处贴法人代表身份证背面</w:t>
            </w:r>
          </w:p>
          <w:p w14:paraId="00264D48">
            <w:pPr>
              <w:spacing w:line="240" w:lineRule="atLeast"/>
              <w:rPr>
                <w:rFonts w:ascii="宋体" w:hAnsi="宋体" w:cs="宋体"/>
                <w:b/>
                <w:sz w:val="24"/>
                <w:szCs w:val="24"/>
                <w:highlight w:val="none"/>
              </w:rPr>
            </w:pPr>
          </w:p>
          <w:p w14:paraId="547F1CCE">
            <w:pPr>
              <w:spacing w:line="240" w:lineRule="atLeast"/>
              <w:rPr>
                <w:rFonts w:ascii="宋体" w:hAnsi="宋体" w:cs="宋体"/>
                <w:b/>
                <w:sz w:val="24"/>
                <w:szCs w:val="24"/>
                <w:highlight w:val="none"/>
              </w:rPr>
            </w:pPr>
          </w:p>
          <w:p w14:paraId="2D4888AF">
            <w:pPr>
              <w:spacing w:line="240" w:lineRule="atLeast"/>
              <w:rPr>
                <w:rFonts w:ascii="宋体" w:hAnsi="宋体" w:cs="宋体"/>
                <w:b/>
                <w:sz w:val="24"/>
                <w:szCs w:val="24"/>
                <w:highlight w:val="none"/>
              </w:rPr>
            </w:pPr>
          </w:p>
          <w:p w14:paraId="7BEA2526">
            <w:pPr>
              <w:spacing w:line="240" w:lineRule="atLeast"/>
              <w:rPr>
                <w:rFonts w:ascii="宋体" w:hAnsi="宋体" w:cs="宋体"/>
                <w:b/>
                <w:sz w:val="24"/>
                <w:szCs w:val="24"/>
                <w:highlight w:val="none"/>
              </w:rPr>
            </w:pPr>
          </w:p>
        </w:tc>
      </w:tr>
    </w:tbl>
    <w:p w14:paraId="64132B19">
      <w:pPr>
        <w:spacing w:line="240" w:lineRule="atLeast"/>
        <w:rPr>
          <w:rFonts w:ascii="宋体" w:hAnsi="宋体" w:cs="宋体"/>
          <w:b/>
          <w:sz w:val="24"/>
          <w:szCs w:val="24"/>
          <w:highlight w:val="none"/>
        </w:rPr>
      </w:pPr>
    </w:p>
    <w:p w14:paraId="34E38E91">
      <w:pPr>
        <w:spacing w:line="360" w:lineRule="auto"/>
        <w:ind w:firstLine="540" w:firstLineChars="224"/>
        <w:rPr>
          <w:rFonts w:ascii="宋体" w:hAnsi="宋体" w:cs="宋体"/>
          <w:b/>
          <w:sz w:val="24"/>
          <w:szCs w:val="24"/>
          <w:highlight w:val="none"/>
          <w:u w:val="single"/>
        </w:rPr>
      </w:pPr>
      <w:r>
        <w:rPr>
          <w:rFonts w:hint="eastAsia" w:ascii="宋体" w:hAnsi="宋体" w:cs="宋体"/>
          <w:b/>
          <w:sz w:val="24"/>
          <w:szCs w:val="24"/>
          <w:highlight w:val="none"/>
        </w:rPr>
        <w:t>法定代表人手机号码：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26566688">
      <w:pPr>
        <w:spacing w:line="360" w:lineRule="auto"/>
        <w:ind w:firstLine="540" w:firstLineChars="224"/>
        <w:rPr>
          <w:rFonts w:ascii="宋体" w:hAnsi="宋体" w:cs="宋体"/>
          <w:b/>
          <w:sz w:val="24"/>
          <w:szCs w:val="24"/>
          <w:highlight w:val="none"/>
        </w:rPr>
      </w:pPr>
      <w:r>
        <w:rPr>
          <w:rFonts w:hint="eastAsia" w:ascii="宋体" w:hAnsi="宋体" w:cs="宋体"/>
          <w:b/>
          <w:sz w:val="24"/>
          <w:szCs w:val="24"/>
          <w:highlight w:val="none"/>
        </w:rPr>
        <w:t>法定代表人办公电话：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181A3D98">
      <w:pPr>
        <w:spacing w:line="360" w:lineRule="auto"/>
        <w:rPr>
          <w:rFonts w:ascii="宋体" w:hAnsi="宋体" w:cs="宋体"/>
          <w:b/>
          <w:sz w:val="24"/>
          <w:szCs w:val="24"/>
          <w:highlight w:val="none"/>
        </w:rPr>
      </w:pPr>
    </w:p>
    <w:p w14:paraId="110DF3C2">
      <w:pPr>
        <w:rPr>
          <w:highlight w:val="none"/>
        </w:rPr>
      </w:pPr>
    </w:p>
    <w:p w14:paraId="27B7C2B4">
      <w:pPr>
        <w:rPr>
          <w:rFonts w:ascii="宋体" w:hAnsi="宋体" w:cs="宋体"/>
          <w:sz w:val="24"/>
          <w:szCs w:val="24"/>
          <w:highlight w:val="none"/>
        </w:rPr>
      </w:pPr>
    </w:p>
    <w:p w14:paraId="7A2CA39D">
      <w:pPr>
        <w:rPr>
          <w:rFonts w:ascii="宋体" w:hAnsi="宋体" w:cs="宋体"/>
          <w:sz w:val="24"/>
          <w:szCs w:val="24"/>
          <w:highlight w:val="none"/>
        </w:rPr>
      </w:pPr>
    </w:p>
    <w:p w14:paraId="26BFF58B">
      <w:pPr>
        <w:rPr>
          <w:rFonts w:ascii="宋体" w:hAnsi="宋体" w:cs="宋体"/>
          <w:sz w:val="24"/>
          <w:szCs w:val="24"/>
          <w:highlight w:val="none"/>
        </w:rPr>
      </w:pPr>
    </w:p>
    <w:p w14:paraId="446DE49A">
      <w:pPr>
        <w:rPr>
          <w:rFonts w:ascii="宋体" w:hAnsi="宋体" w:cs="宋体"/>
          <w:sz w:val="24"/>
          <w:szCs w:val="24"/>
          <w:highlight w:val="none"/>
        </w:rPr>
      </w:pPr>
    </w:p>
    <w:p w14:paraId="650EFAED">
      <w:pPr>
        <w:spacing w:line="360" w:lineRule="auto"/>
        <w:rPr>
          <w:rFonts w:ascii="宋体" w:hAnsi="宋体" w:cs="宋体"/>
          <w:b/>
          <w:sz w:val="24"/>
          <w:szCs w:val="24"/>
          <w:highlight w:val="none"/>
        </w:rPr>
      </w:pPr>
    </w:p>
    <w:p w14:paraId="5AB3CF8A">
      <w:pPr>
        <w:spacing w:line="360" w:lineRule="auto"/>
        <w:rPr>
          <w:rFonts w:ascii="宋体" w:hAnsi="宋体" w:cs="宋体"/>
          <w:b/>
          <w:sz w:val="24"/>
          <w:szCs w:val="24"/>
          <w:highlight w:val="none"/>
        </w:rPr>
      </w:pPr>
      <w:r>
        <w:rPr>
          <w:rFonts w:hint="eastAsia" w:ascii="宋体" w:hAnsi="宋体" w:cs="宋体"/>
          <w:b/>
          <w:sz w:val="24"/>
          <w:szCs w:val="24"/>
          <w:highlight w:val="none"/>
        </w:rPr>
        <w:t>代理人（被授权人）身份证复印件</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7310A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jc w:val="center"/>
        </w:trPr>
        <w:tc>
          <w:tcPr>
            <w:tcW w:w="7938" w:type="dxa"/>
          </w:tcPr>
          <w:p w14:paraId="05BCC306">
            <w:pPr>
              <w:spacing w:line="240" w:lineRule="atLeast"/>
              <w:rPr>
                <w:rFonts w:ascii="宋体" w:hAnsi="宋体" w:cs="宋体"/>
                <w:b/>
                <w:sz w:val="24"/>
                <w:szCs w:val="24"/>
                <w:highlight w:val="none"/>
              </w:rPr>
            </w:pPr>
          </w:p>
          <w:p w14:paraId="23A721F9">
            <w:pP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此处贴代理人（被授权人）身份证正面</w:t>
            </w:r>
          </w:p>
          <w:p w14:paraId="4B453A53">
            <w:pPr>
              <w:spacing w:line="240" w:lineRule="atLeast"/>
              <w:rPr>
                <w:rFonts w:ascii="宋体" w:hAnsi="宋体" w:cs="宋体"/>
                <w:b/>
                <w:sz w:val="24"/>
                <w:szCs w:val="24"/>
                <w:highlight w:val="none"/>
              </w:rPr>
            </w:pPr>
          </w:p>
          <w:p w14:paraId="1A50178D">
            <w:pPr>
              <w:spacing w:line="240" w:lineRule="atLeast"/>
              <w:rPr>
                <w:rFonts w:ascii="宋体" w:hAnsi="宋体" w:cs="宋体"/>
                <w:b/>
                <w:sz w:val="24"/>
                <w:szCs w:val="24"/>
                <w:highlight w:val="none"/>
              </w:rPr>
            </w:pPr>
          </w:p>
          <w:p w14:paraId="3FCD49D2">
            <w:pPr>
              <w:spacing w:line="240" w:lineRule="atLeast"/>
              <w:rPr>
                <w:rFonts w:ascii="宋体" w:hAnsi="宋体" w:cs="宋体"/>
                <w:b/>
                <w:sz w:val="24"/>
                <w:szCs w:val="24"/>
                <w:highlight w:val="none"/>
              </w:rPr>
            </w:pPr>
          </w:p>
        </w:tc>
      </w:tr>
    </w:tbl>
    <w:p w14:paraId="4AC7DDC2">
      <w:pPr>
        <w:spacing w:line="240" w:lineRule="atLeast"/>
        <w:rPr>
          <w:rFonts w:ascii="宋体" w:hAnsi="宋体" w:cs="宋体"/>
          <w:b/>
          <w:sz w:val="24"/>
          <w:szCs w:val="24"/>
          <w:highlight w:val="none"/>
        </w:rPr>
      </w:pP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5715E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0" w:hRule="atLeast"/>
          <w:jc w:val="center"/>
        </w:trPr>
        <w:tc>
          <w:tcPr>
            <w:tcW w:w="7938" w:type="dxa"/>
          </w:tcPr>
          <w:p w14:paraId="463067FD">
            <w:pPr>
              <w:spacing w:line="240" w:lineRule="atLeast"/>
              <w:rPr>
                <w:rFonts w:ascii="宋体" w:hAnsi="宋体" w:cs="宋体"/>
                <w:b/>
                <w:sz w:val="24"/>
                <w:szCs w:val="24"/>
                <w:highlight w:val="none"/>
              </w:rPr>
            </w:pPr>
          </w:p>
          <w:p w14:paraId="21CB0A8E">
            <w:pP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此处贴代理人（被授权人）身份证背面</w:t>
            </w:r>
          </w:p>
          <w:p w14:paraId="0D872058">
            <w:pPr>
              <w:spacing w:line="240" w:lineRule="atLeast"/>
              <w:rPr>
                <w:rFonts w:ascii="宋体" w:hAnsi="宋体" w:cs="宋体"/>
                <w:b/>
                <w:sz w:val="24"/>
                <w:szCs w:val="24"/>
                <w:highlight w:val="none"/>
              </w:rPr>
            </w:pPr>
          </w:p>
          <w:p w14:paraId="1E0C2635">
            <w:pPr>
              <w:spacing w:line="240" w:lineRule="atLeast"/>
              <w:rPr>
                <w:rFonts w:ascii="宋体" w:hAnsi="宋体" w:cs="宋体"/>
                <w:b/>
                <w:sz w:val="24"/>
                <w:szCs w:val="24"/>
                <w:highlight w:val="none"/>
              </w:rPr>
            </w:pPr>
          </w:p>
          <w:p w14:paraId="0925729E">
            <w:pPr>
              <w:spacing w:line="240" w:lineRule="atLeast"/>
              <w:rPr>
                <w:rFonts w:ascii="宋体" w:hAnsi="宋体" w:cs="宋体"/>
                <w:b/>
                <w:sz w:val="24"/>
                <w:szCs w:val="24"/>
                <w:highlight w:val="none"/>
              </w:rPr>
            </w:pPr>
          </w:p>
        </w:tc>
      </w:tr>
    </w:tbl>
    <w:p w14:paraId="233DDD7C">
      <w:pPr>
        <w:spacing w:line="240" w:lineRule="atLeast"/>
        <w:rPr>
          <w:rFonts w:ascii="宋体" w:hAnsi="宋体" w:cs="宋体"/>
          <w:b/>
          <w:sz w:val="24"/>
          <w:szCs w:val="24"/>
          <w:highlight w:val="none"/>
        </w:rPr>
      </w:pPr>
    </w:p>
    <w:p w14:paraId="1AFD371A">
      <w:pPr>
        <w:spacing w:line="360" w:lineRule="auto"/>
        <w:ind w:firstLine="482" w:firstLineChars="200"/>
        <w:rPr>
          <w:rFonts w:ascii="宋体" w:hAnsi="宋体" w:cs="宋体"/>
          <w:b/>
          <w:sz w:val="24"/>
          <w:szCs w:val="24"/>
          <w:highlight w:val="none"/>
          <w:u w:val="single"/>
        </w:rPr>
      </w:pPr>
      <w:r>
        <w:rPr>
          <w:rFonts w:hint="eastAsia" w:ascii="宋体" w:hAnsi="宋体" w:cs="宋体"/>
          <w:b/>
          <w:sz w:val="24"/>
          <w:szCs w:val="24"/>
          <w:highlight w:val="none"/>
        </w:rPr>
        <w:t>代理人（被授权人）手机号码：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09D16768">
      <w:pPr>
        <w:spacing w:line="360" w:lineRule="auto"/>
        <w:ind w:firstLine="482" w:firstLineChars="200"/>
        <w:rPr>
          <w:rFonts w:ascii="宋体" w:hAnsi="宋体" w:cs="宋体"/>
          <w:b/>
          <w:sz w:val="24"/>
          <w:szCs w:val="24"/>
          <w:highlight w:val="none"/>
        </w:rPr>
      </w:pPr>
      <w:r>
        <w:rPr>
          <w:rFonts w:hint="eastAsia" w:ascii="宋体" w:hAnsi="宋体" w:cs="宋体"/>
          <w:b/>
          <w:sz w:val="24"/>
          <w:szCs w:val="24"/>
          <w:highlight w:val="none"/>
        </w:rPr>
        <w:t>代理人（被授权人）办公电话：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0E038E71">
      <w:pPr>
        <w:rPr>
          <w:rFonts w:hAnsi="宋体" w:cs="宋体"/>
          <w:sz w:val="24"/>
          <w:szCs w:val="24"/>
          <w:highlight w:val="none"/>
        </w:rPr>
      </w:pPr>
    </w:p>
    <w:p w14:paraId="1C976F24">
      <w:pPr>
        <w:spacing w:line="360" w:lineRule="auto"/>
        <w:rPr>
          <w:rFonts w:ascii="宋体" w:hAnsi="宋体" w:cs="宋体"/>
          <w:b/>
          <w:sz w:val="24"/>
          <w:szCs w:val="24"/>
          <w:highlight w:val="none"/>
        </w:rPr>
      </w:pPr>
      <w:r>
        <w:rPr>
          <w:rFonts w:hint="eastAsia" w:ascii="宋体" w:hAnsi="宋体" w:cs="宋体"/>
          <w:b/>
          <w:sz w:val="24"/>
          <w:szCs w:val="24"/>
          <w:highlight w:val="none"/>
        </w:rPr>
        <w:t>特殊说明：</w:t>
      </w:r>
    </w:p>
    <w:p w14:paraId="339F00C3">
      <w:pPr>
        <w:spacing w:line="360" w:lineRule="auto"/>
        <w:rPr>
          <w:rFonts w:ascii="宋体" w:hAnsi="宋体" w:cs="宋体"/>
          <w:b/>
          <w:sz w:val="24"/>
          <w:szCs w:val="24"/>
          <w:highlight w:val="none"/>
        </w:rPr>
      </w:pPr>
      <w:r>
        <w:rPr>
          <w:rFonts w:hint="eastAsia" w:ascii="宋体" w:hAnsi="宋体" w:cs="宋体"/>
          <w:b/>
          <w:sz w:val="24"/>
          <w:szCs w:val="24"/>
          <w:highlight w:val="none"/>
        </w:rPr>
        <w:t>1、上述身份证复印件必须清晰；</w:t>
      </w:r>
    </w:p>
    <w:p w14:paraId="72D3292B">
      <w:pPr>
        <w:spacing w:line="360" w:lineRule="auto"/>
        <w:rPr>
          <w:rFonts w:ascii="宋体" w:hAnsi="宋体" w:cs="宋体"/>
          <w:b/>
          <w:sz w:val="24"/>
          <w:szCs w:val="24"/>
          <w:highlight w:val="none"/>
        </w:rPr>
      </w:pPr>
      <w:r>
        <w:rPr>
          <w:rFonts w:hint="eastAsia" w:ascii="宋体" w:hAnsi="宋体" w:cs="宋体"/>
          <w:b/>
          <w:sz w:val="24"/>
          <w:szCs w:val="24"/>
          <w:highlight w:val="none"/>
        </w:rPr>
        <w:t>2、法定代表人参加投标的无需提供谈判授权书，仅提供法定代表人身份证明及联系方式即可。</w:t>
      </w:r>
    </w:p>
    <w:p w14:paraId="2179216B">
      <w:pPr>
        <w:spacing w:line="360" w:lineRule="auto"/>
        <w:ind w:left="1653" w:leftChars="787" w:firstLine="117" w:firstLineChars="49"/>
        <w:rPr>
          <w:rFonts w:ascii="宋体" w:hAnsi="宋体" w:cs="宋体"/>
          <w:b/>
          <w:sz w:val="24"/>
          <w:szCs w:val="24"/>
          <w:highlight w:val="none"/>
        </w:rPr>
      </w:pPr>
      <w:r>
        <w:rPr>
          <w:rFonts w:hint="eastAsia" w:ascii="宋体" w:hAnsi="宋体" w:cs="宋体"/>
          <w:sz w:val="24"/>
          <w:szCs w:val="24"/>
          <w:highlight w:val="none"/>
        </w:rPr>
        <w:t xml:space="preserve">     </w:t>
      </w:r>
    </w:p>
    <w:p w14:paraId="5FBB7BAD">
      <w:pPr>
        <w:jc w:val="center"/>
        <w:rPr>
          <w:rFonts w:ascii="宋体" w:cs="黑体"/>
          <w:b/>
          <w:bCs/>
          <w:sz w:val="28"/>
          <w:szCs w:val="28"/>
          <w:highlight w:val="none"/>
        </w:rPr>
      </w:pPr>
      <w:r>
        <w:rPr>
          <w:rFonts w:hint="eastAsia" w:ascii="宋体" w:hAnsi="宋体" w:cs="黑体"/>
          <w:b/>
          <w:bCs/>
          <w:sz w:val="28"/>
          <w:szCs w:val="28"/>
          <w:highlight w:val="none"/>
        </w:rPr>
        <w:t>法定代表人身份证明</w:t>
      </w:r>
    </w:p>
    <w:p w14:paraId="50B37B81">
      <w:pPr>
        <w:spacing w:line="360" w:lineRule="auto"/>
        <w:rPr>
          <w:rFonts w:ascii="宋体" w:cs="仿宋_GB2312"/>
          <w:b/>
          <w:bCs/>
          <w:sz w:val="24"/>
          <w:szCs w:val="24"/>
          <w:highlight w:val="none"/>
        </w:rPr>
      </w:pPr>
    </w:p>
    <w:p w14:paraId="732E3EA4">
      <w:pPr>
        <w:spacing w:line="360" w:lineRule="auto"/>
        <w:rPr>
          <w:rFonts w:ascii="宋体" w:cs="仿宋_GB2312"/>
          <w:sz w:val="24"/>
          <w:szCs w:val="24"/>
          <w:highlight w:val="none"/>
        </w:rPr>
      </w:pPr>
    </w:p>
    <w:p w14:paraId="77684485">
      <w:pPr>
        <w:spacing w:line="360" w:lineRule="auto"/>
        <w:rPr>
          <w:rFonts w:ascii="宋体" w:hAnsi="宋体" w:cs="仿宋_GB2312"/>
          <w:sz w:val="24"/>
          <w:szCs w:val="24"/>
          <w:highlight w:val="none"/>
        </w:rPr>
      </w:pPr>
      <w:r>
        <w:rPr>
          <w:rFonts w:hint="eastAsia" w:ascii="宋体" w:hAnsi="宋体" w:cs="仿宋_GB2312"/>
          <w:sz w:val="24"/>
          <w:szCs w:val="24"/>
          <w:highlight w:val="none"/>
        </w:rPr>
        <w:t>供应商名称：</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479E6450">
      <w:pPr>
        <w:spacing w:line="360" w:lineRule="auto"/>
        <w:rPr>
          <w:rFonts w:ascii="宋体" w:cs="仿宋_GB2312"/>
          <w:sz w:val="24"/>
          <w:szCs w:val="24"/>
          <w:highlight w:val="none"/>
        </w:rPr>
      </w:pPr>
      <w:r>
        <w:rPr>
          <w:rFonts w:hint="eastAsia" w:ascii="宋体" w:hAnsi="宋体" w:cs="仿宋_GB2312"/>
          <w:sz w:val="24"/>
          <w:szCs w:val="24"/>
          <w:highlight w:val="none"/>
        </w:rPr>
        <w:t>单位性质：</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p>
    <w:p w14:paraId="6FA23DF7">
      <w:pPr>
        <w:spacing w:line="360" w:lineRule="auto"/>
        <w:rPr>
          <w:rFonts w:ascii="宋体" w:cs="仿宋_GB2312"/>
          <w:sz w:val="24"/>
          <w:szCs w:val="24"/>
          <w:highlight w:val="none"/>
        </w:rPr>
      </w:pPr>
      <w:r>
        <w:rPr>
          <w:rFonts w:hint="eastAsia" w:ascii="宋体" w:hAnsi="宋体" w:cs="仿宋_GB2312"/>
          <w:sz w:val="24"/>
          <w:szCs w:val="24"/>
          <w:highlight w:val="none"/>
        </w:rPr>
        <w:t>地</w:t>
      </w:r>
      <w:r>
        <w:rPr>
          <w:rFonts w:ascii="宋体" w:hAnsi="宋体" w:cs="仿宋_GB2312"/>
          <w:sz w:val="24"/>
          <w:szCs w:val="24"/>
          <w:highlight w:val="none"/>
        </w:rPr>
        <w:t xml:space="preserve">    </w:t>
      </w:r>
      <w:r>
        <w:rPr>
          <w:rFonts w:hint="eastAsia" w:ascii="宋体" w:hAnsi="宋体" w:cs="仿宋_GB2312"/>
          <w:sz w:val="24"/>
          <w:szCs w:val="24"/>
          <w:highlight w:val="none"/>
        </w:rPr>
        <w:t>址：</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p>
    <w:p w14:paraId="5C280E1F">
      <w:pPr>
        <w:spacing w:line="360" w:lineRule="auto"/>
        <w:rPr>
          <w:rFonts w:ascii="宋体" w:cs="仿宋_GB2312"/>
          <w:sz w:val="24"/>
          <w:szCs w:val="24"/>
          <w:highlight w:val="none"/>
        </w:rPr>
      </w:pPr>
      <w:r>
        <w:rPr>
          <w:rFonts w:hint="eastAsia" w:ascii="宋体" w:hAnsi="宋体" w:cs="仿宋_GB2312"/>
          <w:sz w:val="24"/>
          <w:szCs w:val="24"/>
          <w:highlight w:val="none"/>
        </w:rPr>
        <w:t>成立时间：</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年</w:t>
      </w:r>
      <w:r>
        <w:rPr>
          <w:rFonts w:ascii="宋体" w:hAnsi="宋体" w:cs="仿宋_GB2312"/>
          <w:sz w:val="24"/>
          <w:szCs w:val="24"/>
          <w:highlight w:val="none"/>
          <w:u w:val="single"/>
        </w:rPr>
        <w:t xml:space="preserve">  </w:t>
      </w:r>
      <w:r>
        <w:rPr>
          <w:rFonts w:hint="eastAsia" w:ascii="宋体" w:hAnsi="宋体" w:cs="仿宋_GB2312"/>
          <w:sz w:val="24"/>
          <w:szCs w:val="24"/>
          <w:highlight w:val="none"/>
        </w:rPr>
        <w:t>月</w:t>
      </w:r>
      <w:r>
        <w:rPr>
          <w:rFonts w:ascii="宋体" w:hAnsi="宋体" w:cs="仿宋_GB2312"/>
          <w:sz w:val="24"/>
          <w:szCs w:val="24"/>
          <w:highlight w:val="none"/>
          <w:u w:val="single"/>
        </w:rPr>
        <w:t xml:space="preserve">   </w:t>
      </w:r>
      <w:r>
        <w:rPr>
          <w:rFonts w:hint="eastAsia" w:ascii="宋体" w:hAnsi="宋体" w:cs="仿宋_GB2312"/>
          <w:sz w:val="24"/>
          <w:szCs w:val="24"/>
          <w:highlight w:val="none"/>
        </w:rPr>
        <w:t>日</w:t>
      </w:r>
    </w:p>
    <w:p w14:paraId="16DA3CDF">
      <w:pPr>
        <w:spacing w:line="360" w:lineRule="auto"/>
        <w:rPr>
          <w:rFonts w:ascii="宋体" w:cs="仿宋_GB2312"/>
          <w:sz w:val="24"/>
          <w:szCs w:val="24"/>
          <w:highlight w:val="none"/>
        </w:rPr>
      </w:pPr>
      <w:r>
        <w:rPr>
          <w:rFonts w:hint="eastAsia" w:ascii="宋体" w:hAnsi="宋体" w:cs="仿宋_GB2312"/>
          <w:sz w:val="24"/>
          <w:szCs w:val="24"/>
          <w:highlight w:val="none"/>
        </w:rPr>
        <w:t>经营期限：</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1D051B50">
      <w:pPr>
        <w:spacing w:line="360" w:lineRule="auto"/>
        <w:rPr>
          <w:rFonts w:ascii="宋体" w:hAnsi="宋体" w:cs="仿宋_GB2312"/>
          <w:sz w:val="24"/>
          <w:szCs w:val="24"/>
          <w:highlight w:val="none"/>
        </w:rPr>
      </w:pPr>
      <w:r>
        <w:rPr>
          <w:rFonts w:hint="eastAsia" w:ascii="宋体" w:hAnsi="宋体" w:cs="仿宋_GB2312"/>
          <w:sz w:val="24"/>
          <w:szCs w:val="24"/>
          <w:highlight w:val="none"/>
        </w:rPr>
        <w:t>姓名：</w:t>
      </w:r>
      <w:r>
        <w:rPr>
          <w:rFonts w:ascii="宋体" w:hAnsi="宋体" w:cs="仿宋_GB2312"/>
          <w:sz w:val="24"/>
          <w:szCs w:val="24"/>
          <w:highlight w:val="none"/>
          <w:u w:val="single"/>
        </w:rPr>
        <w:t xml:space="preserve">    </w:t>
      </w:r>
      <w:r>
        <w:rPr>
          <w:rFonts w:hint="eastAsia" w:ascii="宋体" w:hAnsi="宋体" w:cs="仿宋_GB2312"/>
          <w:sz w:val="24"/>
          <w:szCs w:val="24"/>
          <w:highlight w:val="none"/>
        </w:rPr>
        <w:t>性别：</w:t>
      </w:r>
      <w:r>
        <w:rPr>
          <w:rFonts w:ascii="宋体" w:hAnsi="宋体" w:cs="仿宋_GB2312"/>
          <w:sz w:val="24"/>
          <w:szCs w:val="24"/>
          <w:highlight w:val="none"/>
          <w:u w:val="single"/>
        </w:rPr>
        <w:t xml:space="preserve">    </w:t>
      </w:r>
      <w:r>
        <w:rPr>
          <w:rFonts w:hint="eastAsia" w:ascii="宋体" w:hAnsi="宋体" w:cs="仿宋_GB2312"/>
          <w:sz w:val="24"/>
          <w:szCs w:val="24"/>
          <w:highlight w:val="none"/>
        </w:rPr>
        <w:t>年龄：</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职务：</w:t>
      </w:r>
      <w:r>
        <w:rPr>
          <w:rFonts w:ascii="宋体" w:hAnsi="宋体" w:cs="仿宋_GB2312"/>
          <w:sz w:val="24"/>
          <w:szCs w:val="24"/>
          <w:highlight w:val="none"/>
          <w:u w:val="single"/>
        </w:rPr>
        <w:t xml:space="preserve">     </w:t>
      </w:r>
      <w:r>
        <w:rPr>
          <w:rFonts w:hint="eastAsia" w:ascii="宋体" w:hAnsi="宋体" w:cs="仿宋_GB2312"/>
          <w:sz w:val="24"/>
          <w:szCs w:val="24"/>
          <w:highlight w:val="none"/>
        </w:rPr>
        <w:t>系</w:t>
      </w:r>
      <w:r>
        <w:rPr>
          <w:rFonts w:ascii="宋体" w:hAnsi="宋体" w:cs="仿宋_GB2312"/>
          <w:sz w:val="24"/>
          <w:szCs w:val="24"/>
          <w:highlight w:val="none"/>
          <w:u w:val="single"/>
        </w:rPr>
        <w:t xml:space="preserve">             </w:t>
      </w:r>
      <w:r>
        <w:rPr>
          <w:rFonts w:hint="eastAsia" w:ascii="宋体" w:hAnsi="宋体" w:cs="仿宋_GB2312"/>
          <w:sz w:val="24"/>
          <w:szCs w:val="24"/>
          <w:highlight w:val="none"/>
        </w:rPr>
        <w:t>（供应商名称）的法定代表人。</w:t>
      </w:r>
    </w:p>
    <w:p w14:paraId="4A630E7B">
      <w:pPr>
        <w:spacing w:line="360" w:lineRule="auto"/>
        <w:rPr>
          <w:rFonts w:ascii="宋体" w:hAnsi="宋体" w:cs="仿宋_GB2312"/>
          <w:sz w:val="24"/>
          <w:szCs w:val="24"/>
          <w:highlight w:val="none"/>
        </w:rPr>
      </w:pPr>
      <w:r>
        <w:rPr>
          <w:rFonts w:hint="eastAsia" w:ascii="宋体" w:hAnsi="宋体" w:cs="仿宋_GB2312"/>
          <w:sz w:val="24"/>
          <w:szCs w:val="24"/>
          <w:highlight w:val="none"/>
        </w:rPr>
        <w:t xml:space="preserve">联系手机：                        </w:t>
      </w:r>
    </w:p>
    <w:p w14:paraId="7EA44C7A">
      <w:pPr>
        <w:spacing w:line="360" w:lineRule="auto"/>
        <w:rPr>
          <w:rFonts w:ascii="宋体" w:hAnsi="宋体" w:cs="仿宋_GB2312"/>
          <w:sz w:val="24"/>
          <w:szCs w:val="24"/>
          <w:highlight w:val="none"/>
        </w:rPr>
      </w:pPr>
      <w:r>
        <w:rPr>
          <w:rFonts w:hint="eastAsia" w:ascii="宋体" w:hAnsi="宋体" w:cs="仿宋_GB2312"/>
          <w:sz w:val="24"/>
          <w:szCs w:val="24"/>
          <w:highlight w:val="none"/>
        </w:rPr>
        <w:t>固定电话：</w:t>
      </w:r>
    </w:p>
    <w:p w14:paraId="735324FB">
      <w:pPr>
        <w:spacing w:line="360" w:lineRule="auto"/>
        <w:rPr>
          <w:rFonts w:ascii="宋体" w:hAnsi="宋体" w:cs="仿宋_GB2312"/>
          <w:sz w:val="24"/>
          <w:szCs w:val="24"/>
          <w:highlight w:val="none"/>
        </w:rPr>
      </w:pPr>
      <w:r>
        <w:rPr>
          <w:rFonts w:hint="eastAsia" w:ascii="宋体" w:hAnsi="宋体" w:cs="仿宋_GB2312"/>
          <w:sz w:val="24"/>
          <w:szCs w:val="24"/>
          <w:highlight w:val="none"/>
        </w:rPr>
        <w:t>特此证明。</w:t>
      </w:r>
    </w:p>
    <w:p w14:paraId="33721720">
      <w:pPr>
        <w:spacing w:line="360" w:lineRule="auto"/>
        <w:rPr>
          <w:rFonts w:ascii="宋体" w:hAnsi="宋体" w:cs="仿宋_GB2312"/>
          <w:b/>
          <w:bCs/>
          <w:sz w:val="24"/>
          <w:szCs w:val="24"/>
          <w:highlight w:val="none"/>
        </w:rPr>
      </w:pPr>
      <w:r>
        <w:rPr>
          <w:rFonts w:hint="eastAsia" w:ascii="宋体" w:hAnsi="宋体" w:cs="仿宋_GB2312"/>
          <w:b/>
          <w:bCs/>
          <w:sz w:val="24"/>
          <w:szCs w:val="24"/>
          <w:highlight w:val="none"/>
        </w:rPr>
        <w:t>附：法定代表人身份证复印件。</w:t>
      </w:r>
    </w:p>
    <w:p w14:paraId="3A54DC92">
      <w:pPr>
        <w:spacing w:line="360" w:lineRule="auto"/>
        <w:rPr>
          <w:rFonts w:ascii="宋体" w:cs="仿宋_GB2312"/>
          <w:sz w:val="24"/>
          <w:szCs w:val="24"/>
          <w:highlight w:val="none"/>
        </w:rPr>
      </w:pPr>
    </w:p>
    <w:p w14:paraId="7E8A4434">
      <w:pPr>
        <w:rPr>
          <w:highlight w:val="none"/>
        </w:rPr>
      </w:pPr>
    </w:p>
    <w:p w14:paraId="361132E6">
      <w:pPr>
        <w:spacing w:line="360" w:lineRule="auto"/>
        <w:jc w:val="right"/>
        <w:rPr>
          <w:rFonts w:ascii="宋体" w:cs="仿宋_GB2312"/>
          <w:b/>
          <w:bCs/>
          <w:sz w:val="24"/>
          <w:szCs w:val="24"/>
          <w:highlight w:val="none"/>
        </w:rPr>
      </w:pPr>
      <w:r>
        <w:rPr>
          <w:rFonts w:hint="eastAsia" w:ascii="宋体" w:hAnsi="宋体" w:cs="仿宋_GB2312"/>
          <w:b/>
          <w:bCs/>
          <w:sz w:val="24"/>
          <w:szCs w:val="24"/>
          <w:highlight w:val="none"/>
        </w:rPr>
        <w:t>供应商：</w:t>
      </w:r>
      <w:r>
        <w:rPr>
          <w:rFonts w:ascii="宋体" w:hAnsi="宋体" w:cs="仿宋_GB2312"/>
          <w:b/>
          <w:bCs/>
          <w:sz w:val="24"/>
          <w:szCs w:val="24"/>
          <w:highlight w:val="none"/>
          <w:u w:val="single"/>
        </w:rPr>
        <w:t xml:space="preserve">           </w:t>
      </w:r>
      <w:r>
        <w:rPr>
          <w:rFonts w:hint="eastAsia" w:ascii="宋体" w:hAnsi="宋体" w:cs="仿宋_GB2312"/>
          <w:b/>
          <w:bCs/>
          <w:sz w:val="24"/>
          <w:szCs w:val="24"/>
          <w:highlight w:val="none"/>
        </w:rPr>
        <w:t>（盖单位章）</w:t>
      </w:r>
    </w:p>
    <w:p w14:paraId="007096A5">
      <w:pPr>
        <w:spacing w:line="360" w:lineRule="auto"/>
        <w:ind w:left="5399" w:leftChars="2571"/>
        <w:rPr>
          <w:rFonts w:ascii="宋体" w:cs="仿宋_GB2312"/>
          <w:b/>
          <w:bCs/>
          <w:sz w:val="24"/>
          <w:szCs w:val="24"/>
          <w:highlight w:val="none"/>
        </w:rPr>
      </w:pPr>
    </w:p>
    <w:p w14:paraId="588797C8">
      <w:pPr>
        <w:spacing w:line="360" w:lineRule="auto"/>
        <w:ind w:left="6659" w:leftChars="3171"/>
        <w:rPr>
          <w:rFonts w:ascii="宋体" w:cs="仿宋_GB2312"/>
          <w:b/>
          <w:bCs/>
          <w:sz w:val="24"/>
          <w:szCs w:val="24"/>
          <w:highlight w:val="none"/>
        </w:rPr>
      </w:pPr>
      <w:r>
        <w:rPr>
          <w:rFonts w:hint="eastAsia" w:ascii="宋体" w:hAnsi="宋体" w:cs="仿宋_GB2312"/>
          <w:b/>
          <w:bCs/>
          <w:sz w:val="24"/>
          <w:szCs w:val="24"/>
          <w:highlight w:val="none"/>
        </w:rPr>
        <w:t>年</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 xml:space="preserve">月 </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日</w:t>
      </w:r>
    </w:p>
    <w:p w14:paraId="627A992D">
      <w:pPr>
        <w:rPr>
          <w:rFonts w:hAnsi="宋体" w:cs="宋体"/>
          <w:b/>
          <w:bCs/>
          <w:sz w:val="24"/>
          <w:szCs w:val="24"/>
          <w:highlight w:val="none"/>
        </w:rPr>
      </w:pPr>
    </w:p>
    <w:p w14:paraId="63A9E11D">
      <w:pPr>
        <w:spacing w:before="0" w:after="0" w:line="560" w:lineRule="exact"/>
        <w:rPr>
          <w:rFonts w:ascii="宋体" w:hAnsi="宋体" w:eastAsia="宋体" w:cs="宋体"/>
          <w:sz w:val="24"/>
          <w:szCs w:val="24"/>
          <w:highlight w:val="none"/>
        </w:rPr>
      </w:pPr>
    </w:p>
    <w:p w14:paraId="60BF7C38">
      <w:pPr>
        <w:spacing w:before="0" w:after="0" w:line="560" w:lineRule="exact"/>
        <w:rPr>
          <w:rFonts w:ascii="宋体" w:hAnsi="宋体" w:eastAsia="宋体" w:cs="宋体"/>
          <w:sz w:val="24"/>
          <w:szCs w:val="24"/>
          <w:highlight w:val="none"/>
        </w:rPr>
      </w:pPr>
    </w:p>
    <w:p w14:paraId="65B387CD">
      <w:pPr>
        <w:spacing w:before="0" w:after="0" w:line="560" w:lineRule="exact"/>
        <w:rPr>
          <w:rFonts w:ascii="宋体" w:hAnsi="宋体" w:eastAsia="宋体" w:cs="宋体"/>
          <w:sz w:val="24"/>
          <w:szCs w:val="24"/>
          <w:highlight w:val="none"/>
        </w:rPr>
      </w:pPr>
    </w:p>
    <w:p w14:paraId="4770B100">
      <w:pPr>
        <w:spacing w:before="0" w:after="0" w:line="560" w:lineRule="exact"/>
        <w:rPr>
          <w:rFonts w:ascii="宋体" w:hAnsi="宋体" w:eastAsia="宋体" w:cs="宋体"/>
          <w:sz w:val="24"/>
          <w:szCs w:val="24"/>
          <w:highlight w:val="none"/>
        </w:rPr>
      </w:pPr>
    </w:p>
    <w:p w14:paraId="4916DFBB">
      <w:pPr>
        <w:spacing w:before="0" w:after="0" w:line="560" w:lineRule="exact"/>
        <w:rPr>
          <w:rFonts w:ascii="宋体" w:hAnsi="宋体" w:eastAsia="宋体" w:cs="宋体"/>
          <w:sz w:val="24"/>
          <w:szCs w:val="24"/>
          <w:highlight w:val="none"/>
        </w:rPr>
      </w:pPr>
    </w:p>
    <w:p w14:paraId="3F731DB0">
      <w:pPr>
        <w:rPr>
          <w:highlight w:val="none"/>
        </w:rPr>
      </w:pPr>
    </w:p>
    <w:p w14:paraId="470CACE0">
      <w:pPr>
        <w:spacing w:before="0" w:after="0" w:line="560" w:lineRule="exact"/>
        <w:rPr>
          <w:rFonts w:hint="eastAsia" w:ascii="宋体" w:hAnsi="宋体" w:eastAsia="宋体" w:cs="宋体"/>
          <w:sz w:val="24"/>
          <w:szCs w:val="24"/>
          <w:highlight w:val="none"/>
        </w:rPr>
      </w:pPr>
    </w:p>
    <w:p w14:paraId="6083A446">
      <w:pPr>
        <w:spacing w:before="0" w:after="0" w:line="560" w:lineRule="exact"/>
        <w:rPr>
          <w:rFonts w:hint="eastAsia" w:ascii="宋体" w:hAnsi="宋体" w:eastAsia="宋体" w:cs="宋体"/>
          <w:sz w:val="24"/>
          <w:szCs w:val="24"/>
          <w:highlight w:val="none"/>
        </w:rPr>
      </w:pPr>
    </w:p>
    <w:p w14:paraId="1BFC1091">
      <w:pPr>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附件四</w:t>
      </w:r>
      <w:bookmarkEnd w:id="50"/>
    </w:p>
    <w:p w14:paraId="20238FD0">
      <w:pPr>
        <w:spacing w:before="0" w:after="0" w:line="560" w:lineRule="exact"/>
        <w:jc w:val="center"/>
        <w:rPr>
          <w:rFonts w:ascii="宋体" w:hAnsi="宋体" w:eastAsia="宋体" w:cs="宋体"/>
          <w:b/>
          <w:bCs/>
          <w:sz w:val="24"/>
          <w:szCs w:val="24"/>
          <w:highlight w:val="none"/>
        </w:rPr>
      </w:pPr>
      <w:bookmarkStart w:id="51" w:name="_Toc417045478"/>
      <w:r>
        <w:rPr>
          <w:rFonts w:hint="eastAsia" w:ascii="宋体" w:hAnsi="宋体" w:eastAsia="宋体" w:cs="宋体"/>
          <w:b/>
          <w:bCs/>
          <w:sz w:val="24"/>
          <w:szCs w:val="24"/>
          <w:highlight w:val="none"/>
        </w:rPr>
        <w:t>谈判响应函</w:t>
      </w:r>
    </w:p>
    <w:p w14:paraId="04C9677C">
      <w:pPr>
        <w:spacing w:line="360" w:lineRule="auto"/>
        <w:rPr>
          <w:rFonts w:ascii="宋体" w:hAnsi="宋体"/>
          <w:sz w:val="24"/>
          <w:szCs w:val="24"/>
          <w:highlight w:val="none"/>
        </w:rPr>
      </w:pPr>
      <w:r>
        <w:rPr>
          <w:rFonts w:hint="eastAsia" w:ascii="宋体" w:hAnsi="宋体"/>
          <w:sz w:val="24"/>
          <w:szCs w:val="24"/>
          <w:highlight w:val="none"/>
        </w:rPr>
        <w:t>致：XXX（代理机构名称）</w:t>
      </w:r>
    </w:p>
    <w:p w14:paraId="60ACF2BB">
      <w:pPr>
        <w:spacing w:line="360" w:lineRule="auto"/>
        <w:ind w:firstLine="480" w:firstLineChars="200"/>
        <w:rPr>
          <w:rFonts w:ascii="宋体" w:hAnsi="宋体"/>
          <w:sz w:val="24"/>
          <w:szCs w:val="24"/>
          <w:highlight w:val="none"/>
        </w:rPr>
      </w:pPr>
      <w:r>
        <w:rPr>
          <w:rFonts w:hint="eastAsia" w:ascii="宋体" w:hAnsi="宋体"/>
          <w:sz w:val="24"/>
          <w:szCs w:val="24"/>
          <w:highlight w:val="none"/>
        </w:rPr>
        <w:t>1、根据项目编号：</w:t>
      </w:r>
      <w:r>
        <w:rPr>
          <w:rFonts w:hint="eastAsia" w:ascii="宋体" w:hAnsi="宋体"/>
          <w:sz w:val="24"/>
          <w:szCs w:val="24"/>
          <w:highlight w:val="none"/>
          <w:u w:val="single"/>
        </w:rPr>
        <w:t xml:space="preserve">       </w:t>
      </w:r>
      <w:r>
        <w:rPr>
          <w:rFonts w:hint="eastAsia" w:ascii="宋体" w:hAnsi="宋体"/>
          <w:sz w:val="24"/>
          <w:szCs w:val="24"/>
          <w:highlight w:val="none"/>
        </w:rPr>
        <w:t>号谈判公告的内容，我方决定参加贵方组织的“</w:t>
      </w:r>
      <w:r>
        <w:rPr>
          <w:rFonts w:hint="eastAsia" w:ascii="宋体" w:hAnsi="宋体"/>
          <w:sz w:val="24"/>
          <w:szCs w:val="24"/>
          <w:highlight w:val="none"/>
          <w:u w:val="single"/>
        </w:rPr>
        <w:t xml:space="preserve">                 </w:t>
      </w:r>
      <w:r>
        <w:rPr>
          <w:rFonts w:hint="eastAsia" w:ascii="宋体" w:hAnsi="宋体"/>
          <w:sz w:val="24"/>
          <w:szCs w:val="24"/>
          <w:highlight w:val="none"/>
        </w:rPr>
        <w:t>”项目的竞争性谈判采购。我方授权</w:t>
      </w:r>
      <w:r>
        <w:rPr>
          <w:rFonts w:hint="eastAsia" w:ascii="宋体" w:hAnsi="宋体"/>
          <w:sz w:val="24"/>
          <w:szCs w:val="24"/>
          <w:highlight w:val="none"/>
          <w:u w:val="single"/>
        </w:rPr>
        <w:t xml:space="preserve">         </w:t>
      </w:r>
      <w:r>
        <w:rPr>
          <w:rFonts w:hint="eastAsia" w:ascii="宋体" w:hAnsi="宋体"/>
          <w:sz w:val="24"/>
          <w:szCs w:val="24"/>
          <w:highlight w:val="none"/>
        </w:rPr>
        <w:t>(姓名)代表我方___</w:t>
      </w:r>
      <w:r>
        <w:rPr>
          <w:rFonts w:hint="eastAsia" w:ascii="宋体" w:hAnsi="宋体"/>
          <w:sz w:val="24"/>
          <w:szCs w:val="24"/>
          <w:highlight w:val="none"/>
          <w:u w:val="single"/>
        </w:rPr>
        <w:t xml:space="preserve">           </w:t>
      </w:r>
      <w:r>
        <w:rPr>
          <w:rFonts w:hint="eastAsia" w:ascii="宋体" w:hAnsi="宋体"/>
          <w:sz w:val="24"/>
          <w:szCs w:val="24"/>
          <w:highlight w:val="none"/>
        </w:rPr>
        <w:t>（投标单位的名称）全权处理本项目谈判的有关事宜。</w:t>
      </w:r>
    </w:p>
    <w:p w14:paraId="46E8A5F9">
      <w:pPr>
        <w:spacing w:line="360" w:lineRule="auto"/>
        <w:ind w:firstLine="480" w:firstLineChars="200"/>
        <w:rPr>
          <w:rFonts w:ascii="宋体" w:hAnsi="宋体"/>
          <w:sz w:val="24"/>
          <w:szCs w:val="24"/>
          <w:highlight w:val="none"/>
        </w:rPr>
      </w:pPr>
      <w:r>
        <w:rPr>
          <w:rFonts w:hint="eastAsia" w:ascii="宋体" w:hAnsi="宋体"/>
          <w:sz w:val="24"/>
          <w:szCs w:val="24"/>
          <w:highlight w:val="none"/>
        </w:rPr>
        <w:t>2、我方愿意按照采购书规定的各项要求，向采购人提供所需的工程服务。</w:t>
      </w:r>
    </w:p>
    <w:p w14:paraId="4754779E">
      <w:pPr>
        <w:spacing w:line="360" w:lineRule="auto"/>
        <w:ind w:firstLine="480" w:firstLineChars="200"/>
        <w:rPr>
          <w:rFonts w:ascii="宋体" w:hAnsi="宋体"/>
          <w:sz w:val="24"/>
          <w:szCs w:val="24"/>
          <w:highlight w:val="none"/>
        </w:rPr>
      </w:pPr>
      <w:r>
        <w:rPr>
          <w:rFonts w:hint="eastAsia" w:ascii="宋体" w:hAnsi="宋体"/>
          <w:sz w:val="24"/>
          <w:szCs w:val="24"/>
          <w:highlight w:val="none"/>
        </w:rPr>
        <w:t>3、一旦我方成交，我方将严格履行合同规定的责任和义务，保证于采购人要求的日期内完成项目的全部内容，并交付采购人验收、使用。</w:t>
      </w:r>
    </w:p>
    <w:p w14:paraId="2FEE091D">
      <w:pPr>
        <w:tabs>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4、我方愿意提供贵方可能另外要求的、与谈判有关的文件资料，并保证我方已提供和将要提供的文件是真实的、准确的。</w:t>
      </w:r>
    </w:p>
    <w:p w14:paraId="1CF1B912">
      <w:pPr>
        <w:tabs>
          <w:tab w:val="left" w:pos="0"/>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5、我方完全理解贵方不一定将合同授予最低报价的供应商。</w:t>
      </w:r>
    </w:p>
    <w:p w14:paraId="3B0E6BEA">
      <w:pPr>
        <w:tabs>
          <w:tab w:val="left" w:pos="0"/>
          <w:tab w:val="left" w:pos="840"/>
        </w:tabs>
        <w:spacing w:line="360" w:lineRule="auto"/>
        <w:jc w:val="left"/>
        <w:rPr>
          <w:rFonts w:ascii="宋体" w:hAnsi="宋体"/>
          <w:sz w:val="24"/>
          <w:szCs w:val="24"/>
          <w:highlight w:val="none"/>
        </w:rPr>
      </w:pPr>
    </w:p>
    <w:p w14:paraId="66B2BE9F">
      <w:pPr>
        <w:tabs>
          <w:tab w:val="left" w:pos="0"/>
          <w:tab w:val="left" w:pos="840"/>
        </w:tabs>
        <w:rPr>
          <w:rFonts w:ascii="宋体" w:hAnsi="宋体"/>
          <w:sz w:val="24"/>
          <w:szCs w:val="24"/>
          <w:highlight w:val="none"/>
        </w:rPr>
      </w:pPr>
    </w:p>
    <w:p w14:paraId="3810B616">
      <w:pPr>
        <w:tabs>
          <w:tab w:val="left" w:pos="0"/>
          <w:tab w:val="left" w:pos="840"/>
        </w:tabs>
        <w:rPr>
          <w:rFonts w:ascii="宋体" w:hAnsi="宋体"/>
          <w:sz w:val="24"/>
          <w:szCs w:val="24"/>
          <w:highlight w:val="none"/>
        </w:rPr>
      </w:pPr>
    </w:p>
    <w:p w14:paraId="4AC076B7">
      <w:pPr>
        <w:tabs>
          <w:tab w:val="left" w:pos="0"/>
          <w:tab w:val="left" w:pos="840"/>
        </w:tabs>
        <w:rPr>
          <w:rFonts w:ascii="宋体" w:hAnsi="宋体"/>
          <w:sz w:val="24"/>
          <w:szCs w:val="24"/>
          <w:highlight w:val="none"/>
        </w:rPr>
      </w:pPr>
    </w:p>
    <w:p w14:paraId="0F070065">
      <w:pPr>
        <w:tabs>
          <w:tab w:val="left" w:pos="0"/>
          <w:tab w:val="left" w:pos="840"/>
        </w:tabs>
        <w:rPr>
          <w:rFonts w:ascii="宋体" w:hAnsi="宋体"/>
          <w:sz w:val="24"/>
          <w:szCs w:val="24"/>
          <w:highlight w:val="none"/>
        </w:rPr>
      </w:pPr>
    </w:p>
    <w:p w14:paraId="5EA4E483">
      <w:pP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0E728984">
      <w:pP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5935048">
      <w:pPr>
        <w:rPr>
          <w:sz w:val="24"/>
          <w:szCs w:val="24"/>
          <w:highlight w:val="none"/>
          <w:lang w:val="en-US"/>
        </w:rPr>
      </w:pPr>
    </w:p>
    <w:p w14:paraId="6BF971E8">
      <w:pPr>
        <w:rPr>
          <w:highlight w:val="none"/>
        </w:rPr>
      </w:pPr>
    </w:p>
    <w:p w14:paraId="5A0C4A17">
      <w:pPr>
        <w:rPr>
          <w:highlight w:val="none"/>
        </w:rPr>
      </w:pPr>
    </w:p>
    <w:p w14:paraId="31D5D1B4">
      <w:pP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0D05BEBB">
      <w:pPr>
        <w:tabs>
          <w:tab w:val="left" w:pos="630"/>
        </w:tabs>
        <w:spacing w:after="156" w:afterLines="50" w:line="360" w:lineRule="auto"/>
        <w:rPr>
          <w:rFonts w:hint="eastAsia" w:ascii="宋体" w:hAnsi="宋体"/>
          <w:b/>
          <w:bCs/>
          <w:sz w:val="24"/>
          <w:szCs w:val="24"/>
          <w:highlight w:val="none"/>
          <w:lang w:val="zh-CN"/>
        </w:rPr>
      </w:pPr>
      <w:bookmarkStart w:id="52" w:name="_Toc30069"/>
      <w:r>
        <w:rPr>
          <w:rFonts w:hint="eastAsia" w:ascii="宋体" w:hAnsi="宋体" w:eastAsia="宋体" w:cs="宋体"/>
          <w:b/>
          <w:bCs/>
          <w:sz w:val="24"/>
          <w:szCs w:val="24"/>
          <w:highlight w:val="none"/>
        </w:rPr>
        <w:t>附件</w:t>
      </w:r>
      <w:bookmarkEnd w:id="51"/>
      <w:r>
        <w:rPr>
          <w:rFonts w:hint="eastAsia" w:ascii="宋体" w:hAnsi="宋体" w:eastAsia="宋体" w:cs="宋体"/>
          <w:b/>
          <w:bCs/>
          <w:sz w:val="24"/>
          <w:szCs w:val="24"/>
          <w:highlight w:val="none"/>
        </w:rPr>
        <w:t>五</w:t>
      </w:r>
      <w:bookmarkEnd w:id="52"/>
    </w:p>
    <w:p w14:paraId="03087ACA">
      <w:pPr>
        <w:tabs>
          <w:tab w:val="left" w:pos="630"/>
        </w:tabs>
        <w:spacing w:after="156" w:afterLines="50" w:line="360" w:lineRule="auto"/>
        <w:ind w:firstLine="3188" w:firstLineChars="1323"/>
        <w:rPr>
          <w:rFonts w:hint="eastAsia" w:ascii="宋体" w:hAnsi="宋体"/>
          <w:b/>
          <w:sz w:val="24"/>
          <w:szCs w:val="24"/>
          <w:highlight w:val="none"/>
          <w:lang w:val="zh-CN"/>
        </w:rPr>
      </w:pPr>
      <w:bookmarkStart w:id="53" w:name="_Hlk77794441"/>
      <w:bookmarkStart w:id="54" w:name="_Hlk77793942"/>
      <w:bookmarkStart w:id="55" w:name="_Toc363199274"/>
      <w:r>
        <w:rPr>
          <w:rFonts w:hint="eastAsia" w:ascii="宋体" w:hAnsi="宋体"/>
          <w:b/>
          <w:sz w:val="24"/>
          <w:szCs w:val="24"/>
          <w:highlight w:val="none"/>
          <w:lang w:val="zh-CN"/>
        </w:rPr>
        <w:t>无重大违法记录声明函</w:t>
      </w:r>
    </w:p>
    <w:p w14:paraId="7D107637">
      <w:pPr>
        <w:spacing w:line="360" w:lineRule="auto"/>
        <w:ind w:firstLine="435"/>
        <w:rPr>
          <w:rFonts w:hint="eastAsia" w:ascii="宋体" w:hAnsi="宋体"/>
          <w:sz w:val="24"/>
          <w:szCs w:val="24"/>
          <w:highlight w:val="none"/>
        </w:rPr>
      </w:pPr>
      <w:bookmarkStart w:id="56" w:name="_Hlk77793969"/>
      <w:r>
        <w:rPr>
          <w:rFonts w:hint="eastAsia" w:ascii="宋体" w:hAnsi="宋体"/>
          <w:sz w:val="24"/>
          <w:szCs w:val="24"/>
          <w:highlight w:val="none"/>
        </w:rPr>
        <w:t>本公司郑重声明，根据《中华人民共和国政府采购法》及《中华人民共和国政府采购法实施条例》的规定，参加本次政府采购活动前三年内，本公司在经营活动中没有重大违法记录即没有因违法经营受到刑事处罚或者责令停产停业、吊销许可证或者执照、较大数额罚款等行政处罚。本公司未被政府采购监管部门限制参加政府采购活动或曾被政府采购监管部门限制参加政府采购活动但已不在限制期内。</w:t>
      </w:r>
    </w:p>
    <w:p w14:paraId="41C33423">
      <w:pPr>
        <w:spacing w:line="360" w:lineRule="auto"/>
        <w:ind w:firstLine="435"/>
        <w:rPr>
          <w:rFonts w:hint="eastAsia" w:ascii="宋体" w:hAnsi="宋体"/>
          <w:sz w:val="24"/>
          <w:szCs w:val="24"/>
          <w:highlight w:val="none"/>
        </w:rPr>
      </w:pPr>
      <w:r>
        <w:rPr>
          <w:rFonts w:hint="eastAsia" w:ascii="宋体" w:hAnsi="宋体"/>
          <w:sz w:val="24"/>
          <w:szCs w:val="24"/>
          <w:highlight w:val="none"/>
        </w:rPr>
        <w:t>本公司对上述声明的真实性负责。如有虚假，将依法承担相应责任。</w:t>
      </w:r>
    </w:p>
    <w:p w14:paraId="6CA08EA8">
      <w:pPr>
        <w:spacing w:line="360" w:lineRule="auto"/>
        <w:ind w:firstLine="435"/>
        <w:rPr>
          <w:rFonts w:ascii="宋体" w:hAnsi="宋体"/>
          <w:b/>
          <w:bCs/>
          <w:sz w:val="24"/>
          <w:szCs w:val="24"/>
          <w:highlight w:val="none"/>
        </w:rPr>
      </w:pPr>
    </w:p>
    <w:p w14:paraId="448839E1">
      <w:pPr>
        <w:spacing w:line="360" w:lineRule="auto"/>
        <w:ind w:firstLine="5450" w:firstLineChars="2262"/>
        <w:rPr>
          <w:rFonts w:ascii="宋体" w:hAnsi="宋体"/>
          <w:b/>
          <w:bCs/>
          <w:sz w:val="24"/>
          <w:szCs w:val="24"/>
          <w:highlight w:val="none"/>
          <w:u w:val="single"/>
        </w:rPr>
      </w:pPr>
      <w:r>
        <w:rPr>
          <w:rFonts w:hint="eastAsia" w:ascii="宋体" w:hAnsi="宋体"/>
          <w:b/>
          <w:bCs/>
          <w:sz w:val="24"/>
          <w:szCs w:val="24"/>
          <w:highlight w:val="none"/>
        </w:rPr>
        <w:t>供应商盖章：</w:t>
      </w:r>
    </w:p>
    <w:p w14:paraId="3A3DD6D5">
      <w:pPr>
        <w:tabs>
          <w:tab w:val="left" w:pos="630"/>
        </w:tabs>
        <w:spacing w:line="360" w:lineRule="auto"/>
        <w:ind w:firstLine="5450" w:firstLineChars="2262"/>
        <w:rPr>
          <w:rFonts w:ascii="宋体" w:hAnsi="宋体"/>
          <w:b/>
          <w:bCs/>
          <w:sz w:val="24"/>
          <w:szCs w:val="24"/>
          <w:highlight w:val="none"/>
          <w:lang w:val="zh-CN"/>
        </w:rPr>
      </w:pPr>
      <w:r>
        <w:rPr>
          <w:rFonts w:hint="eastAsia" w:ascii="宋体" w:hAnsi="宋体"/>
          <w:b/>
          <w:bCs/>
          <w:sz w:val="24"/>
          <w:szCs w:val="24"/>
          <w:highlight w:val="none"/>
        </w:rPr>
        <w:t>日期：</w:t>
      </w:r>
    </w:p>
    <w:bookmarkEnd w:id="56"/>
    <w:p w14:paraId="7701478D">
      <w:pPr>
        <w:ind w:firstLine="210"/>
        <w:rPr>
          <w:b/>
          <w:bCs/>
          <w:highlight w:val="none"/>
        </w:rPr>
      </w:pPr>
    </w:p>
    <w:p w14:paraId="16A82866">
      <w:pPr>
        <w:ind w:firstLine="210"/>
        <w:rPr>
          <w:highlight w:val="none"/>
        </w:rPr>
      </w:pPr>
    </w:p>
    <w:p w14:paraId="569C9D6A">
      <w:pPr>
        <w:tabs>
          <w:tab w:val="left" w:pos="630"/>
        </w:tabs>
        <w:spacing w:after="156" w:afterLines="50" w:line="360" w:lineRule="auto"/>
        <w:ind w:firstLine="3188" w:firstLineChars="1323"/>
        <w:rPr>
          <w:rFonts w:hint="eastAsia" w:ascii="宋体" w:hAnsi="宋体"/>
          <w:b/>
          <w:sz w:val="24"/>
          <w:szCs w:val="24"/>
          <w:highlight w:val="none"/>
          <w:lang w:val="zh-CN"/>
        </w:rPr>
      </w:pPr>
    </w:p>
    <w:p w14:paraId="0DB09881">
      <w:pPr>
        <w:tabs>
          <w:tab w:val="left" w:pos="630"/>
        </w:tabs>
        <w:spacing w:after="156" w:afterLines="50" w:line="360" w:lineRule="auto"/>
        <w:ind w:firstLine="3188" w:firstLineChars="1323"/>
        <w:rPr>
          <w:rFonts w:hint="eastAsia" w:ascii="宋体" w:hAnsi="宋体"/>
          <w:b/>
          <w:sz w:val="24"/>
          <w:szCs w:val="24"/>
          <w:highlight w:val="none"/>
          <w:lang w:val="zh-CN"/>
        </w:rPr>
      </w:pPr>
    </w:p>
    <w:p w14:paraId="3775D52F">
      <w:pPr>
        <w:tabs>
          <w:tab w:val="left" w:pos="630"/>
        </w:tabs>
        <w:spacing w:after="156" w:afterLines="50" w:line="360" w:lineRule="auto"/>
        <w:ind w:firstLine="3188" w:firstLineChars="1323"/>
        <w:rPr>
          <w:rFonts w:ascii="宋体" w:hAnsi="宋体"/>
          <w:sz w:val="24"/>
          <w:szCs w:val="24"/>
          <w:highlight w:val="none"/>
        </w:rPr>
      </w:pPr>
      <w:r>
        <w:rPr>
          <w:rFonts w:hint="eastAsia" w:ascii="宋体" w:hAnsi="宋体"/>
          <w:b/>
          <w:sz w:val="24"/>
          <w:szCs w:val="24"/>
          <w:highlight w:val="none"/>
          <w:lang w:val="zh-CN"/>
        </w:rPr>
        <w:t>无不良信用记录承诺函</w:t>
      </w:r>
    </w:p>
    <w:p w14:paraId="302F9817">
      <w:pPr>
        <w:spacing w:line="360" w:lineRule="auto"/>
        <w:ind w:firstLine="435"/>
        <w:rPr>
          <w:rFonts w:ascii="宋体" w:hAnsi="宋体"/>
          <w:sz w:val="24"/>
          <w:szCs w:val="24"/>
          <w:highlight w:val="none"/>
        </w:rPr>
      </w:pPr>
      <w:bookmarkStart w:id="57" w:name="_Hlk77794010"/>
      <w:r>
        <w:rPr>
          <w:rFonts w:hint="eastAsia" w:ascii="宋体" w:hAnsi="宋体"/>
          <w:sz w:val="24"/>
          <w:szCs w:val="24"/>
          <w:highlight w:val="none"/>
        </w:rPr>
        <w:t>本公司郑重承诺，我公司无以下不良信用记录情形：</w:t>
      </w:r>
    </w:p>
    <w:p w14:paraId="18755D1A">
      <w:pPr>
        <w:spacing w:line="360" w:lineRule="auto"/>
        <w:ind w:firstLine="435"/>
        <w:rPr>
          <w:rFonts w:ascii="宋体" w:hAnsi="宋体"/>
          <w:sz w:val="24"/>
          <w:szCs w:val="24"/>
          <w:highlight w:val="none"/>
        </w:rPr>
      </w:pPr>
      <w:r>
        <w:rPr>
          <w:rFonts w:hint="eastAsia" w:ascii="宋体" w:hAnsi="宋体"/>
          <w:sz w:val="24"/>
          <w:szCs w:val="24"/>
          <w:highlight w:val="none"/>
        </w:rPr>
        <w:t>1、公司被人民法院列入失信被执行人；</w:t>
      </w:r>
    </w:p>
    <w:p w14:paraId="1A160C05">
      <w:pPr>
        <w:spacing w:line="360" w:lineRule="auto"/>
        <w:ind w:firstLine="435"/>
        <w:rPr>
          <w:rFonts w:ascii="宋体" w:hAnsi="宋体"/>
          <w:sz w:val="24"/>
          <w:szCs w:val="24"/>
          <w:highlight w:val="none"/>
        </w:rPr>
      </w:pPr>
      <w:r>
        <w:rPr>
          <w:rFonts w:hint="eastAsia" w:ascii="宋体" w:hAnsi="宋体"/>
          <w:color w:val="000000" w:themeColor="text1"/>
          <w:sz w:val="24"/>
          <w:szCs w:val="24"/>
          <w:highlight w:val="none"/>
          <w14:textFill>
            <w14:solidFill>
              <w14:schemeClr w14:val="tx1"/>
            </w14:solidFill>
          </w14:textFill>
        </w:rPr>
        <w:t>2、</w:t>
      </w:r>
      <w:r>
        <w:rPr>
          <w:rFonts w:hint="eastAsia" w:ascii="宋体" w:hAnsi="宋体"/>
          <w:sz w:val="24"/>
          <w:szCs w:val="24"/>
          <w:highlight w:val="none"/>
        </w:rPr>
        <w:t>公司被市场监督管理部门列入企业经营异常名录；</w:t>
      </w:r>
    </w:p>
    <w:p w14:paraId="2F227A2C">
      <w:pPr>
        <w:spacing w:line="360" w:lineRule="auto"/>
        <w:ind w:firstLine="435"/>
        <w:rPr>
          <w:rFonts w:ascii="宋体" w:hAnsi="宋体"/>
          <w:sz w:val="24"/>
          <w:szCs w:val="24"/>
          <w:highlight w:val="none"/>
        </w:rPr>
      </w:pPr>
      <w:r>
        <w:rPr>
          <w:rFonts w:hint="eastAsia" w:ascii="宋体" w:hAnsi="宋体"/>
          <w:sz w:val="24"/>
          <w:szCs w:val="24"/>
          <w:highlight w:val="none"/>
        </w:rPr>
        <w:t>3、公司被税务部门列入重大税收违法案件当事人名单的；</w:t>
      </w:r>
    </w:p>
    <w:p w14:paraId="6520674E">
      <w:pPr>
        <w:spacing w:line="360" w:lineRule="auto"/>
        <w:ind w:firstLine="435"/>
        <w:rPr>
          <w:rFonts w:ascii="宋体" w:hAnsi="宋体"/>
          <w:sz w:val="24"/>
          <w:szCs w:val="24"/>
          <w:highlight w:val="none"/>
        </w:rPr>
      </w:pPr>
      <w:r>
        <w:rPr>
          <w:rFonts w:hint="eastAsia" w:ascii="宋体" w:hAnsi="宋体"/>
          <w:sz w:val="24"/>
          <w:szCs w:val="24"/>
          <w:highlight w:val="none"/>
        </w:rPr>
        <w:t>4、公司被政府采购监管部门列入政府采购严重违法失信行为记录名单。</w:t>
      </w:r>
    </w:p>
    <w:p w14:paraId="615FEED8">
      <w:pPr>
        <w:spacing w:line="360" w:lineRule="auto"/>
        <w:ind w:firstLine="435"/>
        <w:rPr>
          <w:rFonts w:ascii="宋体" w:hAnsi="宋体" w:cs="宋体"/>
          <w:kern w:val="0"/>
          <w:sz w:val="32"/>
          <w:szCs w:val="32"/>
          <w:highlight w:val="none"/>
        </w:rPr>
      </w:pPr>
      <w:r>
        <w:rPr>
          <w:rFonts w:ascii="宋体" w:hAnsi="宋体"/>
          <w:sz w:val="24"/>
          <w:szCs w:val="24"/>
          <w:highlight w:val="none"/>
        </w:rPr>
        <w:t>我公司承诺</w:t>
      </w:r>
      <w:r>
        <w:rPr>
          <w:rFonts w:hint="eastAsia" w:ascii="宋体" w:hAnsi="宋体"/>
          <w:sz w:val="24"/>
          <w:szCs w:val="24"/>
          <w:highlight w:val="none"/>
        </w:rPr>
        <w:t>：</w:t>
      </w:r>
      <w:r>
        <w:rPr>
          <w:rFonts w:ascii="宋体" w:hAnsi="宋体"/>
          <w:sz w:val="24"/>
          <w:szCs w:val="24"/>
          <w:highlight w:val="none"/>
        </w:rPr>
        <w:t>合同签订前，若我公司具有不良信用记录情形，贵方可取消我公司</w:t>
      </w:r>
      <w:r>
        <w:rPr>
          <w:rFonts w:hint="eastAsia" w:ascii="宋体" w:hAnsi="宋体"/>
          <w:sz w:val="24"/>
          <w:szCs w:val="24"/>
          <w:highlight w:val="none"/>
        </w:rPr>
        <w:t>成交</w:t>
      </w:r>
      <w:r>
        <w:rPr>
          <w:rFonts w:ascii="宋体" w:hAnsi="宋体"/>
          <w:sz w:val="24"/>
          <w:szCs w:val="24"/>
          <w:highlight w:val="none"/>
        </w:rPr>
        <w:t xml:space="preserve">资格或者不授予合同，所有责任由我公司自行承担。同时，我公司愿意无条件接受监管部门的调查处理。 </w:t>
      </w:r>
    </w:p>
    <w:p w14:paraId="6695726B">
      <w:pPr>
        <w:tabs>
          <w:tab w:val="left" w:pos="630"/>
        </w:tabs>
        <w:spacing w:line="360" w:lineRule="auto"/>
        <w:ind w:firstLine="630"/>
        <w:rPr>
          <w:rFonts w:ascii="宋体" w:hAnsi="宋体"/>
          <w:sz w:val="24"/>
          <w:szCs w:val="24"/>
          <w:highlight w:val="none"/>
        </w:rPr>
      </w:pPr>
    </w:p>
    <w:p w14:paraId="3CAFF633">
      <w:pPr>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供应商盖章：</w:t>
      </w:r>
    </w:p>
    <w:p w14:paraId="139F547D">
      <w:pPr>
        <w:tabs>
          <w:tab w:val="left" w:pos="630"/>
        </w:tabs>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日期：</w:t>
      </w:r>
    </w:p>
    <w:bookmarkEnd w:id="53"/>
    <w:bookmarkEnd w:id="57"/>
    <w:p w14:paraId="207E648C">
      <w:pPr>
        <w:ind w:firstLine="210"/>
        <w:rPr>
          <w:highlight w:val="none"/>
        </w:rPr>
      </w:pPr>
    </w:p>
    <w:bookmarkEnd w:id="54"/>
    <w:p w14:paraId="2ABEE7D8">
      <w:pPr>
        <w:ind w:firstLine="210"/>
        <w:rPr>
          <w:highlight w:val="none"/>
        </w:rPr>
      </w:pPr>
    </w:p>
    <w:p w14:paraId="17AF5DE5">
      <w:pP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1CE4AD51">
      <w:pPr>
        <w:spacing w:before="0" w:after="0" w:line="560" w:lineRule="exact"/>
        <w:rPr>
          <w:rFonts w:ascii="宋体" w:hAnsi="宋体" w:eastAsia="宋体" w:cs="宋体"/>
          <w:b/>
          <w:bCs/>
          <w:sz w:val="24"/>
          <w:szCs w:val="24"/>
          <w:highlight w:val="none"/>
        </w:rPr>
      </w:pPr>
      <w:bookmarkStart w:id="58" w:name="_Toc11207"/>
      <w:r>
        <w:rPr>
          <w:rFonts w:hint="eastAsia" w:ascii="宋体" w:hAnsi="宋体" w:eastAsia="宋体" w:cs="宋体"/>
          <w:b/>
          <w:bCs/>
          <w:sz w:val="24"/>
          <w:szCs w:val="24"/>
          <w:highlight w:val="none"/>
        </w:rPr>
        <w:t>附件</w:t>
      </w:r>
      <w:bookmarkEnd w:id="55"/>
      <w:r>
        <w:rPr>
          <w:rFonts w:hint="eastAsia" w:ascii="宋体" w:hAnsi="宋体" w:eastAsia="宋体" w:cs="宋体"/>
          <w:b/>
          <w:bCs/>
          <w:sz w:val="24"/>
          <w:szCs w:val="24"/>
          <w:highlight w:val="none"/>
        </w:rPr>
        <w:t>六</w:t>
      </w:r>
      <w:bookmarkEnd w:id="58"/>
    </w:p>
    <w:p w14:paraId="1C516A31">
      <w:pPr>
        <w:spacing w:before="0" w:after="0" w:line="560" w:lineRule="exact"/>
        <w:jc w:val="center"/>
        <w:rPr>
          <w:rFonts w:ascii="宋体" w:hAnsi="宋体" w:eastAsia="宋体" w:cs="宋体"/>
          <w:b/>
          <w:bCs/>
          <w:sz w:val="24"/>
          <w:szCs w:val="24"/>
          <w:highlight w:val="none"/>
          <w:lang w:val="zh-CN"/>
        </w:rPr>
      </w:pPr>
      <w:bookmarkStart w:id="59" w:name="_Toc25238"/>
      <w:bookmarkStart w:id="60" w:name="_Toc11166"/>
      <w:r>
        <w:rPr>
          <w:rFonts w:hint="eastAsia" w:ascii="宋体" w:hAnsi="宋体" w:eastAsia="宋体" w:cs="宋体"/>
          <w:b/>
          <w:bCs/>
          <w:sz w:val="24"/>
          <w:szCs w:val="24"/>
          <w:highlight w:val="none"/>
          <w:lang w:val="zh-CN"/>
        </w:rPr>
        <w:t>响应情况表</w:t>
      </w:r>
      <w:bookmarkEnd w:id="59"/>
      <w:bookmarkEnd w:id="60"/>
    </w:p>
    <w:p w14:paraId="2D49797D">
      <w:pPr>
        <w:jc w:val="center"/>
        <w:rPr>
          <w:bCs/>
          <w:sz w:val="24"/>
          <w:szCs w:val="24"/>
          <w:highlight w:val="none"/>
          <w:lang w:val="zh-CN"/>
        </w:rPr>
      </w:pPr>
    </w:p>
    <w:tbl>
      <w:tblPr>
        <w:tblStyle w:val="8"/>
        <w:tblW w:w="903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470"/>
        <w:gridCol w:w="3092"/>
        <w:gridCol w:w="3628"/>
      </w:tblGrid>
      <w:tr w14:paraId="2BD4D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8" w:hRule="atLeast"/>
        </w:trPr>
        <w:tc>
          <w:tcPr>
            <w:tcW w:w="5402" w:type="dxa"/>
            <w:gridSpan w:val="3"/>
            <w:vAlign w:val="center"/>
          </w:tcPr>
          <w:p w14:paraId="3F419E8F">
            <w:pPr>
              <w:jc w:val="center"/>
              <w:rPr>
                <w:rFonts w:ascii="宋体" w:hAnsi="宋体" w:cs="宋体"/>
                <w:b/>
                <w:bCs/>
                <w:sz w:val="24"/>
                <w:szCs w:val="24"/>
                <w:highlight w:val="none"/>
              </w:rPr>
            </w:pPr>
            <w:bookmarkStart w:id="61" w:name="_Toc471299110"/>
            <w:r>
              <w:rPr>
                <w:rFonts w:hint="eastAsia" w:ascii="宋体" w:hAnsi="宋体" w:cs="宋体"/>
                <w:b/>
                <w:bCs/>
                <w:sz w:val="24"/>
                <w:szCs w:val="24"/>
                <w:highlight w:val="none"/>
              </w:rPr>
              <w:t>按谈判文件规定填写</w:t>
            </w:r>
          </w:p>
        </w:tc>
        <w:tc>
          <w:tcPr>
            <w:tcW w:w="3628" w:type="dxa"/>
            <w:vAlign w:val="center"/>
          </w:tcPr>
          <w:p w14:paraId="10169CCC">
            <w:pPr>
              <w:jc w:val="center"/>
              <w:rPr>
                <w:rFonts w:ascii="宋体" w:hAnsi="宋体" w:cs="宋体"/>
                <w:b/>
                <w:bCs/>
                <w:sz w:val="24"/>
                <w:szCs w:val="24"/>
                <w:highlight w:val="none"/>
              </w:rPr>
            </w:pPr>
            <w:r>
              <w:rPr>
                <w:rFonts w:hint="eastAsia" w:ascii="宋体" w:hAnsi="宋体" w:cs="宋体"/>
                <w:b/>
                <w:bCs/>
                <w:sz w:val="24"/>
                <w:szCs w:val="24"/>
                <w:highlight w:val="none"/>
              </w:rPr>
              <w:t>按供应商所投内容填写</w:t>
            </w:r>
          </w:p>
        </w:tc>
      </w:tr>
      <w:tr w14:paraId="5EA31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7A56BFF0">
            <w:pPr>
              <w:jc w:val="center"/>
              <w:rPr>
                <w:rFonts w:ascii="宋体" w:hAnsi="宋体" w:cs="宋体"/>
                <w:sz w:val="24"/>
                <w:szCs w:val="24"/>
                <w:highlight w:val="none"/>
              </w:rPr>
            </w:pPr>
            <w:r>
              <w:rPr>
                <w:rFonts w:hint="eastAsia" w:ascii="宋体" w:hAnsi="宋体" w:cs="宋体"/>
                <w:sz w:val="24"/>
                <w:szCs w:val="24"/>
                <w:highlight w:val="none"/>
              </w:rPr>
              <w:t>序号</w:t>
            </w:r>
          </w:p>
        </w:tc>
        <w:tc>
          <w:tcPr>
            <w:tcW w:w="1470" w:type="dxa"/>
            <w:vAlign w:val="center"/>
          </w:tcPr>
          <w:p w14:paraId="673125F2">
            <w:pPr>
              <w:jc w:val="center"/>
              <w:rPr>
                <w:rFonts w:ascii="宋体" w:hAnsi="宋体" w:cs="宋体"/>
                <w:sz w:val="24"/>
                <w:szCs w:val="24"/>
                <w:highlight w:val="none"/>
              </w:rPr>
            </w:pPr>
            <w:r>
              <w:rPr>
                <w:rFonts w:hint="eastAsia" w:ascii="宋体" w:hAnsi="宋体" w:cs="宋体"/>
                <w:sz w:val="24"/>
                <w:szCs w:val="24"/>
                <w:highlight w:val="none"/>
              </w:rPr>
              <w:t>内容</w:t>
            </w:r>
          </w:p>
        </w:tc>
        <w:tc>
          <w:tcPr>
            <w:tcW w:w="3092" w:type="dxa"/>
            <w:vAlign w:val="center"/>
          </w:tcPr>
          <w:p w14:paraId="55E1CC57">
            <w:pPr>
              <w:jc w:val="center"/>
              <w:rPr>
                <w:rFonts w:ascii="宋体" w:hAnsi="宋体" w:cs="宋体"/>
                <w:sz w:val="24"/>
                <w:szCs w:val="24"/>
                <w:highlight w:val="none"/>
              </w:rPr>
            </w:pPr>
            <w:r>
              <w:rPr>
                <w:rFonts w:hint="eastAsia" w:ascii="宋体" w:hAnsi="宋体" w:cs="宋体"/>
                <w:sz w:val="24"/>
                <w:szCs w:val="24"/>
                <w:highlight w:val="none"/>
              </w:rPr>
              <w:t>谈判文件要求</w:t>
            </w:r>
          </w:p>
        </w:tc>
        <w:tc>
          <w:tcPr>
            <w:tcW w:w="3628" w:type="dxa"/>
            <w:vAlign w:val="center"/>
          </w:tcPr>
          <w:p w14:paraId="47A0F7D8">
            <w:pPr>
              <w:jc w:val="center"/>
              <w:rPr>
                <w:rFonts w:ascii="宋体" w:hAnsi="宋体" w:cs="宋体"/>
                <w:sz w:val="24"/>
                <w:szCs w:val="24"/>
                <w:highlight w:val="none"/>
              </w:rPr>
            </w:pPr>
            <w:r>
              <w:rPr>
                <w:rFonts w:hint="eastAsia" w:ascii="宋体" w:hAnsi="宋体" w:cs="宋体"/>
                <w:sz w:val="24"/>
                <w:szCs w:val="24"/>
                <w:highlight w:val="none"/>
              </w:rPr>
              <w:t>响应承诺</w:t>
            </w:r>
          </w:p>
        </w:tc>
      </w:tr>
      <w:tr w14:paraId="364CB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6CDFB4B6">
            <w:pPr>
              <w:jc w:val="center"/>
              <w:rPr>
                <w:rFonts w:ascii="宋体" w:hAnsi="宋体" w:cs="宋体"/>
                <w:sz w:val="24"/>
                <w:szCs w:val="24"/>
                <w:highlight w:val="none"/>
              </w:rPr>
            </w:pPr>
            <w:r>
              <w:rPr>
                <w:rFonts w:hint="eastAsia" w:ascii="宋体" w:hAnsi="宋体" w:cs="宋体"/>
                <w:sz w:val="24"/>
                <w:szCs w:val="24"/>
                <w:highlight w:val="none"/>
              </w:rPr>
              <w:t>1</w:t>
            </w:r>
          </w:p>
        </w:tc>
        <w:tc>
          <w:tcPr>
            <w:tcW w:w="1470" w:type="dxa"/>
            <w:vAlign w:val="center"/>
          </w:tcPr>
          <w:p w14:paraId="5062A752">
            <w:pPr>
              <w:jc w:val="center"/>
              <w:rPr>
                <w:rFonts w:ascii="宋体" w:hAnsi="宋体" w:cs="宋体"/>
                <w:sz w:val="24"/>
                <w:szCs w:val="24"/>
                <w:highlight w:val="none"/>
              </w:rPr>
            </w:pPr>
            <w:r>
              <w:rPr>
                <w:rFonts w:hint="eastAsia" w:ascii="宋体" w:hAnsi="宋体" w:cs="宋体"/>
                <w:sz w:val="24"/>
                <w:szCs w:val="24"/>
                <w:highlight w:val="none"/>
              </w:rPr>
              <w:t>工期</w:t>
            </w:r>
          </w:p>
        </w:tc>
        <w:tc>
          <w:tcPr>
            <w:tcW w:w="3092" w:type="dxa"/>
          </w:tcPr>
          <w:p w14:paraId="212D3159">
            <w:pPr>
              <w:rPr>
                <w:rFonts w:ascii="宋体" w:hAnsi="宋体" w:cs="宋体"/>
                <w:sz w:val="24"/>
                <w:szCs w:val="24"/>
                <w:highlight w:val="none"/>
              </w:rPr>
            </w:pPr>
          </w:p>
        </w:tc>
        <w:tc>
          <w:tcPr>
            <w:tcW w:w="3628" w:type="dxa"/>
          </w:tcPr>
          <w:p w14:paraId="0F2DBCA3">
            <w:pPr>
              <w:rPr>
                <w:rFonts w:ascii="宋体" w:hAnsi="宋体" w:cs="宋体"/>
                <w:sz w:val="24"/>
                <w:szCs w:val="24"/>
                <w:highlight w:val="none"/>
              </w:rPr>
            </w:pPr>
          </w:p>
        </w:tc>
      </w:tr>
      <w:tr w14:paraId="38D30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38A94257">
            <w:pPr>
              <w:jc w:val="center"/>
              <w:rPr>
                <w:rFonts w:hint="default" w:ascii="宋体" w:hAnsi="宋体" w:cs="宋体" w:eastAsiaTheme="minorEastAsia"/>
                <w:sz w:val="24"/>
                <w:szCs w:val="24"/>
                <w:highlight w:val="none"/>
                <w:lang w:val="en-US" w:eastAsia="zh-CN"/>
              </w:rPr>
            </w:pPr>
            <w:r>
              <w:rPr>
                <w:rFonts w:hint="eastAsia" w:ascii="宋体" w:hAnsi="宋体" w:cs="宋体"/>
                <w:sz w:val="24"/>
                <w:szCs w:val="24"/>
                <w:highlight w:val="none"/>
                <w:lang w:val="en-US" w:eastAsia="zh-CN"/>
              </w:rPr>
              <w:t>2</w:t>
            </w:r>
          </w:p>
        </w:tc>
        <w:tc>
          <w:tcPr>
            <w:tcW w:w="1470" w:type="dxa"/>
            <w:vAlign w:val="center"/>
          </w:tcPr>
          <w:p w14:paraId="711F6489">
            <w:pPr>
              <w:jc w:val="center"/>
              <w:rPr>
                <w:rFonts w:ascii="宋体" w:hAnsi="宋体" w:cs="宋体"/>
                <w:sz w:val="24"/>
                <w:szCs w:val="24"/>
                <w:highlight w:val="none"/>
              </w:rPr>
            </w:pPr>
            <w:r>
              <w:rPr>
                <w:rFonts w:hint="eastAsia" w:ascii="宋体" w:hAnsi="宋体" w:cs="宋体"/>
                <w:sz w:val="24"/>
                <w:szCs w:val="24"/>
                <w:highlight w:val="none"/>
              </w:rPr>
              <w:t>付款方式</w:t>
            </w:r>
          </w:p>
        </w:tc>
        <w:tc>
          <w:tcPr>
            <w:tcW w:w="3092" w:type="dxa"/>
          </w:tcPr>
          <w:p w14:paraId="6566741E">
            <w:pPr>
              <w:rPr>
                <w:rFonts w:ascii="宋体" w:hAnsi="宋体" w:cs="宋体"/>
                <w:sz w:val="24"/>
                <w:szCs w:val="24"/>
                <w:highlight w:val="none"/>
              </w:rPr>
            </w:pPr>
          </w:p>
        </w:tc>
        <w:tc>
          <w:tcPr>
            <w:tcW w:w="3628" w:type="dxa"/>
          </w:tcPr>
          <w:p w14:paraId="35A5F7EE">
            <w:pPr>
              <w:rPr>
                <w:rFonts w:ascii="宋体" w:hAnsi="宋体" w:cs="宋体"/>
                <w:sz w:val="24"/>
                <w:szCs w:val="24"/>
                <w:highlight w:val="none"/>
              </w:rPr>
            </w:pPr>
          </w:p>
        </w:tc>
      </w:tr>
      <w:tr w14:paraId="7A179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3288AAAF">
            <w:pPr>
              <w:jc w:val="center"/>
              <w:rPr>
                <w:rFonts w:hint="eastAsia" w:ascii="宋体" w:hAnsi="宋体" w:cs="宋体" w:eastAsiaTheme="minorEastAsia"/>
                <w:sz w:val="24"/>
                <w:szCs w:val="24"/>
                <w:highlight w:val="none"/>
                <w:lang w:eastAsia="zh-CN"/>
              </w:rPr>
            </w:pPr>
            <w:r>
              <w:rPr>
                <w:rFonts w:hint="eastAsia" w:ascii="宋体" w:hAnsi="宋体" w:cs="宋体"/>
                <w:sz w:val="24"/>
                <w:szCs w:val="24"/>
                <w:highlight w:val="none"/>
                <w:lang w:val="en-US" w:eastAsia="zh-CN"/>
              </w:rPr>
              <w:t>3</w:t>
            </w:r>
          </w:p>
        </w:tc>
        <w:tc>
          <w:tcPr>
            <w:tcW w:w="1470" w:type="dxa"/>
            <w:vAlign w:val="center"/>
          </w:tcPr>
          <w:p w14:paraId="62634DB9">
            <w:pPr>
              <w:jc w:val="center"/>
              <w:rPr>
                <w:rFonts w:ascii="宋体" w:hAnsi="宋体" w:cs="宋体"/>
                <w:sz w:val="24"/>
                <w:szCs w:val="24"/>
                <w:highlight w:val="none"/>
              </w:rPr>
            </w:pPr>
            <w:r>
              <w:rPr>
                <w:rFonts w:hint="eastAsia" w:ascii="宋体" w:hAnsi="宋体" w:cs="宋体"/>
                <w:sz w:val="24"/>
                <w:szCs w:val="24"/>
                <w:highlight w:val="none"/>
              </w:rPr>
              <w:t>其他</w:t>
            </w:r>
          </w:p>
        </w:tc>
        <w:tc>
          <w:tcPr>
            <w:tcW w:w="3092" w:type="dxa"/>
          </w:tcPr>
          <w:p w14:paraId="354A4EDE">
            <w:pPr>
              <w:rPr>
                <w:rFonts w:ascii="宋体" w:hAnsi="宋体" w:cs="宋体"/>
                <w:sz w:val="24"/>
                <w:szCs w:val="24"/>
                <w:highlight w:val="none"/>
              </w:rPr>
            </w:pPr>
          </w:p>
        </w:tc>
        <w:tc>
          <w:tcPr>
            <w:tcW w:w="3628" w:type="dxa"/>
          </w:tcPr>
          <w:p w14:paraId="7F09E8B6">
            <w:pPr>
              <w:rPr>
                <w:rFonts w:ascii="宋体" w:hAnsi="宋体" w:cs="宋体"/>
                <w:sz w:val="24"/>
                <w:szCs w:val="24"/>
                <w:highlight w:val="none"/>
              </w:rPr>
            </w:pPr>
          </w:p>
        </w:tc>
      </w:tr>
    </w:tbl>
    <w:p w14:paraId="299AEE9A">
      <w:pPr>
        <w:snapToGrid w:val="0"/>
        <w:spacing w:line="360" w:lineRule="auto"/>
        <w:rPr>
          <w:rFonts w:ascii="宋体" w:hAnsi="宋体" w:cs="宋体"/>
          <w:sz w:val="24"/>
          <w:szCs w:val="24"/>
          <w:highlight w:val="none"/>
        </w:rPr>
      </w:pPr>
    </w:p>
    <w:p w14:paraId="0A635760">
      <w:pPr>
        <w:snapToGrid w:val="0"/>
        <w:spacing w:line="360" w:lineRule="auto"/>
        <w:rPr>
          <w:rFonts w:ascii="宋体" w:hAnsi="宋体" w:cs="宋体"/>
          <w:b/>
          <w:bCs/>
          <w:sz w:val="24"/>
          <w:szCs w:val="24"/>
          <w:highlight w:val="none"/>
        </w:rPr>
      </w:pPr>
      <w:r>
        <w:rPr>
          <w:rFonts w:hint="eastAsia" w:ascii="宋体" w:hAnsi="宋体" w:cs="宋体"/>
          <w:b/>
          <w:bCs/>
          <w:sz w:val="24"/>
          <w:szCs w:val="24"/>
          <w:highlight w:val="none"/>
        </w:rPr>
        <w:t>供应商盖章：</w:t>
      </w:r>
    </w:p>
    <w:p w14:paraId="2894A856">
      <w:pPr>
        <w:spacing w:line="360" w:lineRule="auto"/>
        <w:jc w:val="left"/>
        <w:rPr>
          <w:rFonts w:ascii="宋体" w:hAnsi="宋体" w:cs="宋体"/>
          <w:b/>
          <w:bCs/>
          <w:sz w:val="24"/>
          <w:szCs w:val="24"/>
          <w:highlight w:val="none"/>
        </w:rPr>
      </w:pPr>
      <w:r>
        <w:rPr>
          <w:rFonts w:hint="eastAsia" w:ascii="宋体" w:hAnsi="宋体" w:cs="宋体"/>
          <w:b/>
          <w:bCs/>
          <w:sz w:val="24"/>
          <w:szCs w:val="24"/>
          <w:highlight w:val="none"/>
        </w:rPr>
        <w:t>日期：   年  月  日</w:t>
      </w:r>
    </w:p>
    <w:p w14:paraId="401C0730">
      <w:pPr>
        <w:spacing w:before="156" w:beforeLines="50" w:after="156" w:afterLines="50" w:line="360" w:lineRule="auto"/>
        <w:rPr>
          <w:rFonts w:ascii="宋体" w:hAnsi="宋体" w:cs="宋体"/>
          <w:sz w:val="24"/>
          <w:szCs w:val="24"/>
          <w:highlight w:val="none"/>
        </w:rPr>
      </w:pPr>
      <w:r>
        <w:rPr>
          <w:rFonts w:hint="eastAsia" w:ascii="宋体" w:hAnsi="宋体" w:cs="宋体"/>
          <w:sz w:val="24"/>
          <w:szCs w:val="24"/>
          <w:highlight w:val="none"/>
        </w:rPr>
        <w:t>本项目不接受负偏离。</w:t>
      </w:r>
    </w:p>
    <w:p w14:paraId="735D6F34">
      <w:pPr>
        <w:spacing w:before="0" w:after="0"/>
        <w:rPr>
          <w:sz w:val="24"/>
          <w:szCs w:val="24"/>
          <w:highlight w:val="none"/>
        </w:rPr>
      </w:pPr>
      <w:r>
        <w:rPr>
          <w:rFonts w:hint="eastAsia"/>
          <w:sz w:val="24"/>
          <w:szCs w:val="24"/>
          <w:highlight w:val="none"/>
        </w:rPr>
        <w:br w:type="page"/>
      </w:r>
    </w:p>
    <w:p w14:paraId="0884FD18">
      <w:pPr>
        <w:spacing w:before="0" w:after="0" w:line="360" w:lineRule="exact"/>
        <w:jc w:val="both"/>
        <w:rPr>
          <w:rFonts w:hint="eastAsia" w:ascii="宋体" w:hAnsi="宋体" w:eastAsia="宋体" w:cs="宋体"/>
          <w:sz w:val="24"/>
          <w:szCs w:val="24"/>
          <w:highlight w:val="none"/>
          <w:lang w:val="en-US" w:eastAsia="zh-CN"/>
        </w:rPr>
      </w:pPr>
      <w:bookmarkStart w:id="62" w:name="_Toc12917"/>
      <w:r>
        <w:rPr>
          <w:rFonts w:hint="eastAsia" w:ascii="宋体" w:hAnsi="宋体" w:eastAsia="宋体" w:cs="宋体"/>
          <w:b/>
          <w:bCs/>
          <w:sz w:val="24"/>
          <w:szCs w:val="24"/>
          <w:highlight w:val="none"/>
        </w:rPr>
        <w:t>附件</w:t>
      </w:r>
      <w:bookmarkEnd w:id="61"/>
      <w:r>
        <w:rPr>
          <w:rFonts w:hint="eastAsia" w:ascii="宋体" w:hAnsi="宋体" w:eastAsia="宋体" w:cs="宋体"/>
          <w:b/>
          <w:bCs/>
          <w:sz w:val="24"/>
          <w:szCs w:val="24"/>
          <w:highlight w:val="none"/>
        </w:rPr>
        <w:t>七</w:t>
      </w:r>
      <w:bookmarkEnd w:id="62"/>
      <w:bookmarkStart w:id="63" w:name="_Toc18625"/>
      <w:bookmarkStart w:id="64" w:name="_Toc26763"/>
      <w:r>
        <w:rPr>
          <w:rFonts w:hint="eastAsia" w:ascii="宋体" w:hAnsi="宋体" w:eastAsia="宋体" w:cs="宋体"/>
          <w:b/>
          <w:bCs/>
          <w:sz w:val="24"/>
          <w:szCs w:val="24"/>
          <w:highlight w:val="none"/>
        </w:rPr>
        <w:t xml:space="preserve">  </w:t>
      </w:r>
      <w:r>
        <w:rPr>
          <w:rFonts w:hint="eastAsia" w:ascii="宋体" w:hAnsi="宋体" w:eastAsia="宋体" w:cs="宋体"/>
          <w:sz w:val="24"/>
          <w:szCs w:val="24"/>
          <w:highlight w:val="none"/>
        </w:rPr>
        <w:t xml:space="preserve">                     </w:t>
      </w:r>
    </w:p>
    <w:p w14:paraId="3A77EE7E">
      <w:pPr>
        <w:spacing w:before="0" w:after="0" w:line="360" w:lineRule="exact"/>
        <w:jc w:val="center"/>
        <w:rPr>
          <w:rFonts w:ascii="宋体" w:hAnsi="宋体" w:eastAsia="宋体" w:cs="宋体"/>
          <w:sz w:val="24"/>
          <w:szCs w:val="24"/>
          <w:highlight w:val="none"/>
        </w:rPr>
      </w:pPr>
      <w:r>
        <w:rPr>
          <w:rFonts w:hint="eastAsia" w:ascii="宋体" w:hAnsi="宋体" w:eastAsia="宋体" w:cs="宋体"/>
          <w:b/>
          <w:bCs/>
          <w:sz w:val="24"/>
          <w:szCs w:val="24"/>
          <w:highlight w:val="none"/>
        </w:rPr>
        <w:t>服务承诺函</w:t>
      </w:r>
      <w:bookmarkEnd w:id="63"/>
      <w:bookmarkEnd w:id="64"/>
    </w:p>
    <w:p w14:paraId="3787D128">
      <w:pPr>
        <w:jc w:val="center"/>
        <w:rPr>
          <w:rFonts w:hint="default" w:ascii="宋体" w:hAnsi="宋体" w:eastAsia="宋体" w:cs="宋体"/>
          <w:b/>
          <w:bCs/>
          <w:sz w:val="24"/>
          <w:szCs w:val="24"/>
          <w:highlight w:val="none"/>
          <w:lang w:val="en-US" w:eastAsia="zh-CN"/>
        </w:rPr>
      </w:pPr>
      <w:bookmarkStart w:id="65" w:name="_Toc3426"/>
      <w:bookmarkStart w:id="66" w:name="_Toc3177"/>
    </w:p>
    <w:p w14:paraId="7D01C41E">
      <w:pPr>
        <w:jc w:val="center"/>
        <w:rPr>
          <w:rFonts w:hint="eastAsia" w:ascii="宋体" w:hAnsi="宋体" w:eastAsia="宋体" w:cs="宋体"/>
          <w:b w:val="0"/>
          <w:bCs w:val="0"/>
          <w:sz w:val="22"/>
          <w:szCs w:val="22"/>
          <w:highlight w:val="none"/>
        </w:rPr>
      </w:pPr>
      <w:r>
        <w:rPr>
          <w:rFonts w:hint="eastAsia" w:ascii="宋体" w:hAnsi="宋体" w:eastAsia="宋体" w:cs="宋体"/>
          <w:b w:val="0"/>
          <w:bCs w:val="0"/>
          <w:sz w:val="22"/>
          <w:szCs w:val="22"/>
          <w:highlight w:val="none"/>
          <w:lang w:eastAsia="zh-CN"/>
        </w:rPr>
        <w:t>（</w:t>
      </w:r>
      <w:r>
        <w:rPr>
          <w:rFonts w:hint="eastAsia" w:ascii="宋体" w:hAnsi="宋体" w:eastAsia="宋体" w:cs="宋体"/>
          <w:b w:val="0"/>
          <w:bCs w:val="0"/>
          <w:sz w:val="22"/>
          <w:szCs w:val="22"/>
          <w:highlight w:val="none"/>
        </w:rPr>
        <w:t>格式自拟）</w:t>
      </w:r>
    </w:p>
    <w:p w14:paraId="3889FE82">
      <w:pPr>
        <w:jc w:val="both"/>
        <w:rPr>
          <w:rFonts w:hint="eastAsia" w:ascii="宋体" w:hAnsi="宋体" w:eastAsia="宋体" w:cs="宋体"/>
          <w:b/>
          <w:bCs/>
          <w:sz w:val="24"/>
          <w:szCs w:val="24"/>
          <w:highlight w:val="none"/>
        </w:rPr>
      </w:pPr>
    </w:p>
    <w:p w14:paraId="2B9194A4">
      <w:pPr>
        <w:jc w:val="both"/>
        <w:rPr>
          <w:rFonts w:hint="eastAsia" w:ascii="宋体" w:hAnsi="宋体" w:eastAsia="宋体" w:cs="宋体"/>
          <w:b/>
          <w:bCs/>
          <w:sz w:val="24"/>
          <w:szCs w:val="24"/>
          <w:highlight w:val="none"/>
        </w:rPr>
      </w:pPr>
    </w:p>
    <w:p w14:paraId="54855F59">
      <w:pPr>
        <w:jc w:val="both"/>
        <w:rPr>
          <w:rFonts w:hint="eastAsia" w:ascii="宋体" w:hAnsi="宋体" w:eastAsia="宋体" w:cs="宋体"/>
          <w:b/>
          <w:bCs/>
          <w:sz w:val="24"/>
          <w:szCs w:val="24"/>
          <w:highlight w:val="none"/>
        </w:rPr>
      </w:pPr>
    </w:p>
    <w:p w14:paraId="676702EF">
      <w:pPr>
        <w:jc w:val="both"/>
        <w:rPr>
          <w:rFonts w:hint="eastAsia" w:ascii="宋体" w:hAnsi="宋体" w:eastAsia="宋体" w:cs="宋体"/>
          <w:b/>
          <w:bCs/>
          <w:sz w:val="24"/>
          <w:szCs w:val="24"/>
          <w:highlight w:val="none"/>
        </w:rPr>
      </w:pPr>
    </w:p>
    <w:p w14:paraId="30653145">
      <w:pPr>
        <w:jc w:val="both"/>
        <w:rPr>
          <w:rFonts w:hint="eastAsia" w:ascii="宋体" w:hAnsi="宋体" w:eastAsia="宋体" w:cs="宋体"/>
          <w:b/>
          <w:bCs/>
          <w:sz w:val="24"/>
          <w:szCs w:val="24"/>
          <w:highlight w:val="none"/>
        </w:rPr>
      </w:pPr>
    </w:p>
    <w:p w14:paraId="73C63BAF">
      <w:pPr>
        <w:jc w:val="both"/>
        <w:rPr>
          <w:rFonts w:hint="eastAsia" w:ascii="宋体" w:hAnsi="宋体" w:eastAsia="宋体" w:cs="宋体"/>
          <w:b/>
          <w:bCs/>
          <w:sz w:val="24"/>
          <w:szCs w:val="24"/>
          <w:highlight w:val="none"/>
        </w:rPr>
      </w:pPr>
    </w:p>
    <w:p w14:paraId="2096D1A3">
      <w:pPr>
        <w:jc w:val="both"/>
        <w:rPr>
          <w:rFonts w:hint="eastAsia" w:ascii="宋体" w:hAnsi="宋体" w:eastAsia="宋体" w:cs="宋体"/>
          <w:b/>
          <w:bCs/>
          <w:sz w:val="24"/>
          <w:szCs w:val="24"/>
          <w:highlight w:val="none"/>
        </w:rPr>
      </w:pPr>
    </w:p>
    <w:p w14:paraId="57472B42">
      <w:pPr>
        <w:jc w:val="both"/>
        <w:rPr>
          <w:rFonts w:hint="eastAsia" w:ascii="宋体" w:hAnsi="宋体" w:eastAsia="宋体" w:cs="宋体"/>
          <w:b/>
          <w:bCs/>
          <w:sz w:val="24"/>
          <w:szCs w:val="24"/>
          <w:highlight w:val="none"/>
        </w:rPr>
      </w:pPr>
    </w:p>
    <w:p w14:paraId="34E461DD">
      <w:pPr>
        <w:jc w:val="both"/>
        <w:rPr>
          <w:rFonts w:hint="eastAsia" w:ascii="宋体" w:hAnsi="宋体" w:eastAsia="宋体" w:cs="宋体"/>
          <w:b/>
          <w:bCs/>
          <w:sz w:val="24"/>
          <w:szCs w:val="24"/>
          <w:highlight w:val="none"/>
        </w:rPr>
      </w:pPr>
    </w:p>
    <w:p w14:paraId="62A75D33">
      <w:pPr>
        <w:jc w:val="both"/>
        <w:rPr>
          <w:rFonts w:hint="eastAsia" w:ascii="宋体" w:hAnsi="宋体" w:eastAsia="宋体" w:cs="宋体"/>
          <w:b/>
          <w:bCs/>
          <w:sz w:val="24"/>
          <w:szCs w:val="24"/>
          <w:highlight w:val="none"/>
        </w:rPr>
      </w:pPr>
    </w:p>
    <w:p w14:paraId="04375A8E">
      <w:pPr>
        <w:jc w:val="both"/>
        <w:rPr>
          <w:rFonts w:hint="eastAsia" w:ascii="宋体" w:hAnsi="宋体" w:eastAsia="宋体" w:cs="宋体"/>
          <w:b/>
          <w:bCs/>
          <w:sz w:val="24"/>
          <w:szCs w:val="24"/>
          <w:highlight w:val="none"/>
        </w:rPr>
      </w:pPr>
    </w:p>
    <w:p w14:paraId="32103104">
      <w:pPr>
        <w:jc w:val="both"/>
        <w:rPr>
          <w:rFonts w:hint="eastAsia" w:ascii="宋体" w:hAnsi="宋体" w:eastAsia="宋体" w:cs="宋体"/>
          <w:b/>
          <w:bCs/>
          <w:sz w:val="24"/>
          <w:szCs w:val="24"/>
          <w:highlight w:val="none"/>
        </w:rPr>
      </w:pPr>
    </w:p>
    <w:p w14:paraId="2DE63C9B">
      <w:pPr>
        <w:jc w:val="both"/>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附件八</w:t>
      </w:r>
      <w:bookmarkEnd w:id="65"/>
      <w:r>
        <w:rPr>
          <w:rFonts w:hint="eastAsia" w:ascii="宋体" w:hAnsi="宋体" w:eastAsia="宋体" w:cs="宋体"/>
          <w:b/>
          <w:bCs/>
          <w:sz w:val="24"/>
          <w:szCs w:val="24"/>
          <w:highlight w:val="none"/>
          <w:lang w:val="en-US" w:eastAsia="zh-CN"/>
        </w:rPr>
        <w:t xml:space="preserve">  </w:t>
      </w:r>
      <w:bookmarkStart w:id="67" w:name="_Toc28850"/>
      <w:bookmarkStart w:id="68" w:name="_Toc19723"/>
      <w:r>
        <w:rPr>
          <w:rFonts w:hint="eastAsia" w:ascii="宋体" w:hAnsi="宋体" w:eastAsia="宋体" w:cs="宋体"/>
          <w:b/>
          <w:bCs/>
          <w:sz w:val="24"/>
          <w:szCs w:val="24"/>
          <w:highlight w:val="none"/>
        </w:rPr>
        <w:t>谈判文件要求和供应商认为需要提供的其它说明和资料</w:t>
      </w:r>
      <w:bookmarkEnd w:id="66"/>
      <w:bookmarkEnd w:id="67"/>
      <w:bookmarkEnd w:id="68"/>
      <w:bookmarkStart w:id="69" w:name="_Toc23763"/>
      <w:bookmarkStart w:id="70" w:name="_Toc5314"/>
    </w:p>
    <w:p w14:paraId="57610691">
      <w:pPr>
        <w:spacing w:before="0" w:after="0" w:line="560" w:lineRule="exact"/>
        <w:rPr>
          <w:rFonts w:hint="eastAsia" w:ascii="宋体" w:hAnsi="宋体" w:eastAsia="宋体" w:cs="宋体"/>
          <w:sz w:val="24"/>
          <w:szCs w:val="24"/>
          <w:highlight w:val="none"/>
        </w:rPr>
      </w:pPr>
    </w:p>
    <w:p w14:paraId="6D498D3B">
      <w:pPr>
        <w:spacing w:before="0" w:after="0" w:line="560" w:lineRule="exact"/>
        <w:rPr>
          <w:rFonts w:hint="eastAsia" w:ascii="宋体" w:hAnsi="宋体" w:eastAsia="宋体" w:cs="宋体"/>
          <w:sz w:val="24"/>
          <w:szCs w:val="24"/>
          <w:highlight w:val="none"/>
        </w:rPr>
      </w:pPr>
    </w:p>
    <w:p w14:paraId="7F8ABE34">
      <w:pPr>
        <w:rPr>
          <w:rFonts w:hint="eastAsia"/>
          <w:highlight w:val="none"/>
        </w:rPr>
      </w:pPr>
    </w:p>
    <w:p w14:paraId="61F49E70">
      <w:pPr>
        <w:rPr>
          <w:rFonts w:hint="eastAsia"/>
          <w:highlight w:val="none"/>
        </w:rPr>
      </w:pPr>
    </w:p>
    <w:p w14:paraId="1BD3B95D">
      <w:pPr>
        <w:rPr>
          <w:rFonts w:hint="eastAsia"/>
          <w:highlight w:val="none"/>
        </w:rPr>
      </w:pPr>
    </w:p>
    <w:p w14:paraId="4C435D0B">
      <w:pPr>
        <w:rPr>
          <w:rFonts w:hint="eastAsia"/>
          <w:b/>
          <w:bCs/>
          <w:sz w:val="24"/>
          <w:szCs w:val="22"/>
          <w:highlight w:val="none"/>
        </w:rPr>
      </w:pPr>
    </w:p>
    <w:p w14:paraId="40C98405">
      <w:pPr>
        <w:rPr>
          <w:rFonts w:hint="eastAsia"/>
          <w:b/>
          <w:bCs/>
          <w:sz w:val="24"/>
          <w:szCs w:val="22"/>
          <w:highlight w:val="none"/>
        </w:rPr>
      </w:pPr>
    </w:p>
    <w:p w14:paraId="45564A44">
      <w:pPr>
        <w:rPr>
          <w:rFonts w:hint="eastAsia"/>
          <w:b/>
          <w:bCs/>
          <w:sz w:val="24"/>
          <w:szCs w:val="22"/>
          <w:highlight w:val="none"/>
        </w:rPr>
      </w:pPr>
    </w:p>
    <w:p w14:paraId="0B2A82C0">
      <w:pPr>
        <w:rPr>
          <w:rFonts w:hint="eastAsia"/>
          <w:b/>
          <w:bCs/>
          <w:sz w:val="24"/>
          <w:szCs w:val="22"/>
          <w:highlight w:val="none"/>
        </w:rPr>
      </w:pPr>
    </w:p>
    <w:p w14:paraId="1A41D09F">
      <w:pPr>
        <w:rPr>
          <w:rFonts w:hint="eastAsia"/>
          <w:b/>
          <w:bCs/>
          <w:sz w:val="24"/>
          <w:szCs w:val="22"/>
          <w:highlight w:val="none"/>
        </w:rPr>
      </w:pPr>
    </w:p>
    <w:p w14:paraId="56B4D8F9">
      <w:pPr>
        <w:rPr>
          <w:rFonts w:hint="eastAsia"/>
          <w:b/>
          <w:bCs/>
          <w:sz w:val="24"/>
          <w:szCs w:val="22"/>
          <w:highlight w:val="none"/>
        </w:rPr>
      </w:pPr>
    </w:p>
    <w:p w14:paraId="2AC97E1C">
      <w:pPr>
        <w:rPr>
          <w:rFonts w:hint="eastAsia"/>
          <w:b/>
          <w:bCs/>
          <w:sz w:val="24"/>
          <w:szCs w:val="22"/>
          <w:highlight w:val="none"/>
        </w:rPr>
      </w:pPr>
    </w:p>
    <w:p w14:paraId="2C54C8F4">
      <w:pPr>
        <w:rPr>
          <w:rFonts w:hint="eastAsia"/>
          <w:b/>
          <w:bCs/>
          <w:sz w:val="24"/>
          <w:szCs w:val="22"/>
          <w:highlight w:val="none"/>
        </w:rPr>
      </w:pPr>
    </w:p>
    <w:p w14:paraId="47AAACB6">
      <w:pPr>
        <w:rPr>
          <w:rFonts w:hint="eastAsia"/>
          <w:b/>
          <w:bCs/>
          <w:sz w:val="24"/>
          <w:szCs w:val="22"/>
          <w:highlight w:val="none"/>
        </w:rPr>
      </w:pPr>
    </w:p>
    <w:p w14:paraId="0736AF8F">
      <w:pPr>
        <w:rPr>
          <w:rFonts w:hint="eastAsia"/>
          <w:b/>
          <w:bCs/>
          <w:sz w:val="24"/>
          <w:szCs w:val="22"/>
          <w:highlight w:val="none"/>
        </w:rPr>
      </w:pPr>
    </w:p>
    <w:p w14:paraId="06CB9C77">
      <w:pPr>
        <w:rPr>
          <w:rFonts w:hint="eastAsia"/>
          <w:b/>
          <w:bCs/>
          <w:sz w:val="24"/>
          <w:szCs w:val="22"/>
          <w:highlight w:val="none"/>
        </w:rPr>
      </w:pPr>
    </w:p>
    <w:p w14:paraId="40D76167">
      <w:pPr>
        <w:rPr>
          <w:rFonts w:hint="eastAsia"/>
          <w:b/>
          <w:bCs/>
          <w:sz w:val="24"/>
          <w:szCs w:val="22"/>
          <w:highlight w:val="none"/>
        </w:rPr>
      </w:pPr>
    </w:p>
    <w:p w14:paraId="287BDDEF">
      <w:pPr>
        <w:rPr>
          <w:rFonts w:hint="eastAsia"/>
          <w:b/>
          <w:bCs/>
          <w:sz w:val="24"/>
          <w:szCs w:val="22"/>
          <w:highlight w:val="none"/>
        </w:rPr>
      </w:pPr>
    </w:p>
    <w:p w14:paraId="115311F2">
      <w:pPr>
        <w:rPr>
          <w:rFonts w:hint="eastAsia"/>
          <w:b/>
          <w:bCs/>
          <w:sz w:val="24"/>
          <w:szCs w:val="22"/>
          <w:highlight w:val="none"/>
        </w:rPr>
      </w:pPr>
    </w:p>
    <w:p w14:paraId="22B040A9">
      <w:pPr>
        <w:rPr>
          <w:rFonts w:hint="eastAsia"/>
          <w:b/>
          <w:bCs/>
          <w:sz w:val="24"/>
          <w:szCs w:val="22"/>
          <w:highlight w:val="none"/>
        </w:rPr>
      </w:pPr>
    </w:p>
    <w:p w14:paraId="6C4A2FAC">
      <w:pPr>
        <w:rPr>
          <w:rFonts w:hint="eastAsia"/>
          <w:b/>
          <w:bCs/>
          <w:sz w:val="24"/>
          <w:szCs w:val="22"/>
          <w:highlight w:val="none"/>
        </w:rPr>
      </w:pPr>
    </w:p>
    <w:p w14:paraId="166B4F15">
      <w:pPr>
        <w:rPr>
          <w:rFonts w:hint="eastAsia"/>
          <w:b/>
          <w:bCs/>
          <w:sz w:val="24"/>
          <w:szCs w:val="22"/>
          <w:highlight w:val="none"/>
        </w:rPr>
      </w:pPr>
    </w:p>
    <w:p w14:paraId="7444428E">
      <w:pPr>
        <w:rPr>
          <w:rFonts w:hint="eastAsia"/>
          <w:b/>
          <w:bCs/>
          <w:sz w:val="24"/>
          <w:szCs w:val="22"/>
          <w:highlight w:val="none"/>
        </w:rPr>
      </w:pPr>
    </w:p>
    <w:p w14:paraId="1245A5E8">
      <w:pPr>
        <w:rPr>
          <w:rFonts w:hint="eastAsia"/>
          <w:b/>
          <w:bCs/>
          <w:sz w:val="24"/>
          <w:szCs w:val="22"/>
          <w:highlight w:val="none"/>
        </w:rPr>
      </w:pPr>
    </w:p>
    <w:p w14:paraId="6632DAB8">
      <w:pPr>
        <w:rPr>
          <w:rFonts w:hint="eastAsia"/>
          <w:b/>
          <w:bCs/>
          <w:sz w:val="24"/>
          <w:szCs w:val="22"/>
          <w:highlight w:val="none"/>
        </w:rPr>
      </w:pPr>
    </w:p>
    <w:p w14:paraId="74F7A22E">
      <w:pPr>
        <w:rPr>
          <w:rFonts w:hint="eastAsia"/>
          <w:b/>
          <w:bCs/>
          <w:sz w:val="24"/>
          <w:szCs w:val="22"/>
          <w:highlight w:val="none"/>
        </w:rPr>
      </w:pPr>
    </w:p>
    <w:p w14:paraId="759F54C2">
      <w:pPr>
        <w:rPr>
          <w:rFonts w:hint="eastAsia"/>
          <w:highlight w:val="none"/>
        </w:rPr>
      </w:pPr>
      <w:r>
        <w:rPr>
          <w:rFonts w:hint="eastAsia"/>
          <w:b/>
          <w:bCs/>
          <w:sz w:val="24"/>
          <w:szCs w:val="22"/>
          <w:highlight w:val="none"/>
        </w:rPr>
        <w:t>附件九</w:t>
      </w:r>
      <w:bookmarkEnd w:id="69"/>
      <w:bookmarkEnd w:id="70"/>
      <w:r>
        <w:rPr>
          <w:rFonts w:hint="eastAsia"/>
          <w:highlight w:val="none"/>
          <w:lang w:val="en-US" w:eastAsia="zh-CN"/>
        </w:rPr>
        <w:t xml:space="preserve">                     </w:t>
      </w:r>
      <w:r>
        <w:rPr>
          <w:rFonts w:hint="eastAsia"/>
          <w:highlight w:val="none"/>
        </w:rPr>
        <w:t xml:space="preserve"> </w:t>
      </w:r>
    </w:p>
    <w:p w14:paraId="23431D4F">
      <w:pPr>
        <w:spacing w:line="440" w:lineRule="exact"/>
        <w:jc w:val="center"/>
        <w:rPr>
          <w:rFonts w:hint="eastAsia" w:ascii="宋体" w:hAnsi="宋体"/>
          <w:b/>
          <w:color w:val="auto"/>
          <w:sz w:val="28"/>
          <w:szCs w:val="28"/>
          <w:highlight w:val="none"/>
        </w:rPr>
      </w:pPr>
      <w:r>
        <w:rPr>
          <w:rFonts w:hint="eastAsia" w:ascii="宋体" w:hAnsi="宋体"/>
          <w:b/>
          <w:color w:val="auto"/>
          <w:sz w:val="24"/>
          <w:szCs w:val="24"/>
          <w:highlight w:val="none"/>
        </w:rPr>
        <w:t>最终</w:t>
      </w:r>
      <w:r>
        <w:rPr>
          <w:rFonts w:hint="eastAsia" w:ascii="宋体" w:hAnsi="宋体"/>
          <w:b/>
          <w:color w:val="auto"/>
          <w:sz w:val="24"/>
          <w:szCs w:val="24"/>
          <w:highlight w:val="none"/>
          <w:lang w:eastAsia="zh-CN"/>
        </w:rPr>
        <w:t>承诺</w:t>
      </w:r>
      <w:r>
        <w:rPr>
          <w:rFonts w:hint="eastAsia" w:ascii="宋体" w:hAnsi="宋体"/>
          <w:b/>
          <w:color w:val="auto"/>
          <w:sz w:val="24"/>
          <w:szCs w:val="24"/>
          <w:highlight w:val="none"/>
        </w:rPr>
        <w:t>报价书</w:t>
      </w:r>
    </w:p>
    <w:p w14:paraId="5060959B">
      <w:pPr>
        <w:widowControl w:val="0"/>
        <w:tabs>
          <w:tab w:val="left" w:pos="1663"/>
        </w:tabs>
        <w:autoSpaceDE w:val="0"/>
        <w:autoSpaceDN w:val="0"/>
        <w:spacing w:before="0" w:after="0" w:line="240" w:lineRule="auto"/>
        <w:ind w:left="96" w:right="0"/>
        <w:jc w:val="center"/>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（某项目第</w:t>
      </w:r>
      <w:r>
        <w:rPr>
          <w:rFonts w:ascii="宋体" w:hAnsi="宋体" w:eastAsia="宋体" w:cs="宋体"/>
          <w:b/>
          <w:bCs/>
          <w:sz w:val="24"/>
          <w:szCs w:val="24"/>
          <w:highlight w:val="none"/>
          <w:u w:val="single"/>
          <w:lang w:val="zh-CN"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次报价书）</w:t>
      </w:r>
    </w:p>
    <w:p w14:paraId="6AED172F">
      <w:pPr>
        <w:widowControl w:val="0"/>
        <w:autoSpaceDE w:val="0"/>
        <w:autoSpaceDN w:val="0"/>
        <w:spacing w:before="9" w:after="0" w:line="240" w:lineRule="auto"/>
        <w:ind w:left="0" w:right="0"/>
        <w:jc w:val="left"/>
        <w:rPr>
          <w:rFonts w:ascii="宋体" w:hAnsi="宋体" w:eastAsia="宋体" w:cs="宋体"/>
          <w:b/>
          <w:sz w:val="12"/>
          <w:szCs w:val="24"/>
          <w:highlight w:val="none"/>
          <w:lang w:val="zh-CN" w:eastAsia="zh-CN" w:bidi="zh-CN"/>
        </w:rPr>
      </w:pPr>
    </w:p>
    <w:p w14:paraId="175A563C">
      <w:pPr>
        <w:widowControl w:val="0"/>
        <w:tabs>
          <w:tab w:val="left" w:pos="2992"/>
        </w:tabs>
        <w:autoSpaceDE w:val="0"/>
        <w:autoSpaceDN w:val="0"/>
        <w:spacing w:before="74" w:after="0" w:line="364" w:lineRule="auto"/>
        <w:ind w:left="220" w:right="5891"/>
        <w:jc w:val="left"/>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项目名称：</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项目编号：</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p>
    <w:p w14:paraId="211B93EB">
      <w:pPr>
        <w:widowControl w:val="0"/>
        <w:autoSpaceDE w:val="0"/>
        <w:autoSpaceDN w:val="0"/>
        <w:spacing w:before="1" w:after="1" w:line="240" w:lineRule="auto"/>
        <w:ind w:left="0" w:right="0"/>
        <w:jc w:val="left"/>
        <w:rPr>
          <w:rFonts w:ascii="宋体" w:hAnsi="宋体" w:eastAsia="宋体" w:cs="宋体"/>
          <w:b/>
          <w:sz w:val="12"/>
          <w:szCs w:val="24"/>
          <w:highlight w:val="none"/>
          <w:lang w:val="zh-CN" w:eastAsia="zh-CN" w:bidi="zh-CN"/>
        </w:rPr>
      </w:pPr>
    </w:p>
    <w:tbl>
      <w:tblPr>
        <w:tblStyle w:val="8"/>
        <w:tblW w:w="8525"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1"/>
        <w:gridCol w:w="6064"/>
      </w:tblGrid>
      <w:tr w14:paraId="15AA0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6" w:hRule="atLeast"/>
        </w:trPr>
        <w:tc>
          <w:tcPr>
            <w:tcW w:w="2461" w:type="dxa"/>
            <w:noWrap w:val="0"/>
            <w:vAlign w:val="top"/>
          </w:tcPr>
          <w:p w14:paraId="5ED8F7AD">
            <w:pPr>
              <w:keepNext w:val="0"/>
              <w:keepLines w:val="0"/>
              <w:widowControl w:val="0"/>
              <w:suppressLineNumbers w:val="0"/>
              <w:autoSpaceDE w:val="0"/>
              <w:autoSpaceDN w:val="0"/>
              <w:spacing w:before="177"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供应商名称</w:t>
            </w:r>
          </w:p>
        </w:tc>
        <w:tc>
          <w:tcPr>
            <w:tcW w:w="6064" w:type="dxa"/>
            <w:noWrap w:val="0"/>
            <w:vAlign w:val="top"/>
          </w:tcPr>
          <w:p w14:paraId="393842FD">
            <w:pPr>
              <w:keepNext w:val="0"/>
              <w:keepLines w:val="0"/>
              <w:widowControl w:val="0"/>
              <w:suppressLineNumbers w:val="0"/>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r w14:paraId="50A67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2461" w:type="dxa"/>
            <w:noWrap w:val="0"/>
            <w:vAlign w:val="top"/>
          </w:tcPr>
          <w:p w14:paraId="1FDB5C45">
            <w:pPr>
              <w:keepNext w:val="0"/>
              <w:keepLines w:val="0"/>
              <w:widowControl w:val="0"/>
              <w:suppressLineNumbers w:val="0"/>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4CB8B491">
            <w:pPr>
              <w:keepNext w:val="0"/>
              <w:keepLines w:val="0"/>
              <w:widowControl w:val="0"/>
              <w:suppressLineNumbers w:val="0"/>
              <w:autoSpaceDE w:val="0"/>
              <w:autoSpaceDN w:val="0"/>
              <w:spacing w:before="0" w:beforeAutospacing="0" w:after="0" w:afterAutospacing="0" w:line="240" w:lineRule="auto"/>
              <w:ind w:left="245" w:right="237"/>
              <w:jc w:val="center"/>
              <w:rPr>
                <w:rFonts w:hint="default" w:ascii="宋体" w:hAnsi="宋体" w:eastAsia="宋体" w:cs="宋体"/>
                <w:b/>
                <w:sz w:val="24"/>
                <w:szCs w:val="22"/>
                <w:highlight w:val="none"/>
                <w:lang w:val="zh-CN" w:eastAsia="zh-CN" w:bidi="zh-CN"/>
              </w:rPr>
            </w:pPr>
            <w:r>
              <w:rPr>
                <w:rFonts w:hint="eastAsia" w:ascii="宋体" w:hAnsi="宋体" w:cs="宋体"/>
                <w:b/>
                <w:sz w:val="24"/>
                <w:szCs w:val="22"/>
                <w:highlight w:val="none"/>
                <w:lang w:val="en-US" w:eastAsia="zh-CN" w:bidi="zh-CN"/>
              </w:rPr>
              <w:t>谈判</w:t>
            </w:r>
            <w:r>
              <w:rPr>
                <w:rFonts w:hint="default" w:ascii="宋体" w:hAnsi="宋体" w:eastAsia="宋体" w:cs="宋体"/>
                <w:b/>
                <w:sz w:val="24"/>
                <w:szCs w:val="22"/>
                <w:highlight w:val="none"/>
                <w:lang w:val="zh-CN" w:eastAsia="zh-CN" w:bidi="zh-CN"/>
              </w:rPr>
              <w:t>范围</w:t>
            </w:r>
          </w:p>
        </w:tc>
        <w:tc>
          <w:tcPr>
            <w:tcW w:w="6064" w:type="dxa"/>
            <w:noWrap w:val="0"/>
            <w:vAlign w:val="top"/>
          </w:tcPr>
          <w:p w14:paraId="13BB0332">
            <w:pPr>
              <w:keepNext w:val="0"/>
              <w:keepLines w:val="0"/>
              <w:widowControl w:val="0"/>
              <w:suppressLineNumbers w:val="0"/>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3713A125">
            <w:pPr>
              <w:keepNext w:val="0"/>
              <w:keepLines w:val="0"/>
              <w:widowControl w:val="0"/>
              <w:suppressLineNumbers w:val="0"/>
              <w:tabs>
                <w:tab w:val="left" w:pos="1547"/>
              </w:tabs>
              <w:autoSpaceDE w:val="0"/>
              <w:autoSpaceDN w:val="0"/>
              <w:spacing w:before="0" w:beforeAutospacing="0" w:after="0" w:afterAutospacing="0" w:line="240" w:lineRule="auto"/>
              <w:ind w:left="107" w:right="0"/>
              <w:jc w:val="left"/>
              <w:rPr>
                <w:rFonts w:hint="default" w:ascii="宋体" w:hAnsi="宋体" w:eastAsia="宋体" w:cs="宋体"/>
                <w:sz w:val="24"/>
                <w:szCs w:val="22"/>
                <w:highlight w:val="none"/>
                <w:lang w:val="zh-CN" w:eastAsia="zh-CN" w:bidi="zh-CN"/>
              </w:rPr>
            </w:pPr>
            <w:r>
              <w:rPr>
                <w:rFonts w:hint="default" w:ascii="宋体" w:hAnsi="宋体" w:eastAsia="宋体" w:cs="宋体"/>
                <w:color w:val="auto"/>
                <w:sz w:val="24"/>
                <w:szCs w:val="22"/>
                <w:highlight w:val="none"/>
                <w:lang w:val="zh-CN" w:eastAsia="zh-CN" w:bidi="zh-CN"/>
              </w:rPr>
              <w:t>全部 / 第</w:t>
            </w:r>
            <w:r>
              <w:rPr>
                <w:rFonts w:hint="default" w:ascii="宋体" w:hAnsi="宋体" w:eastAsia="宋体" w:cs="宋体"/>
                <w:color w:val="auto"/>
                <w:sz w:val="24"/>
                <w:szCs w:val="22"/>
                <w:highlight w:val="none"/>
                <w:u w:val="single"/>
                <w:lang w:val="zh-CN" w:eastAsia="zh-CN" w:bidi="zh-CN"/>
              </w:rPr>
              <w:t xml:space="preserve"> </w:t>
            </w:r>
            <w:r>
              <w:rPr>
                <w:rFonts w:hint="default" w:ascii="宋体" w:hAnsi="宋体" w:eastAsia="宋体" w:cs="宋体"/>
                <w:color w:val="auto"/>
                <w:sz w:val="24"/>
                <w:szCs w:val="22"/>
                <w:highlight w:val="none"/>
                <w:u w:val="single"/>
                <w:lang w:val="zh-CN" w:eastAsia="zh-CN" w:bidi="zh-CN"/>
              </w:rPr>
              <w:tab/>
            </w:r>
            <w:r>
              <w:rPr>
                <w:rFonts w:hint="default" w:ascii="宋体" w:hAnsi="宋体" w:eastAsia="宋体" w:cs="宋体"/>
                <w:color w:val="auto"/>
                <w:sz w:val="24"/>
                <w:szCs w:val="22"/>
                <w:highlight w:val="none"/>
                <w:lang w:val="zh-CN" w:eastAsia="zh-CN" w:bidi="zh-CN"/>
              </w:rPr>
              <w:t>包</w:t>
            </w:r>
            <w:r>
              <w:rPr>
                <w:rFonts w:hint="default" w:ascii="宋体" w:hAnsi="宋体" w:eastAsia="宋体" w:cs="宋体"/>
                <w:sz w:val="24"/>
                <w:szCs w:val="22"/>
                <w:highlight w:val="none"/>
                <w:lang w:val="zh-CN" w:eastAsia="zh-CN" w:bidi="zh-CN"/>
              </w:rPr>
              <w:t xml:space="preserve"> </w:t>
            </w:r>
          </w:p>
        </w:tc>
      </w:tr>
      <w:tr w14:paraId="4700A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1" w:hRule="atLeast"/>
        </w:trPr>
        <w:tc>
          <w:tcPr>
            <w:tcW w:w="2461" w:type="dxa"/>
            <w:noWrap w:val="0"/>
            <w:vAlign w:val="top"/>
          </w:tcPr>
          <w:p w14:paraId="7C2E5487">
            <w:pPr>
              <w:keepNext w:val="0"/>
              <w:keepLines w:val="0"/>
              <w:widowControl w:val="0"/>
              <w:suppressLineNumbers w:val="0"/>
              <w:autoSpaceDE w:val="0"/>
              <w:autoSpaceDN w:val="0"/>
              <w:spacing w:before="7" w:beforeAutospacing="0" w:after="0" w:afterAutospacing="0" w:line="240" w:lineRule="auto"/>
              <w:ind w:left="0" w:right="0"/>
              <w:jc w:val="left"/>
              <w:rPr>
                <w:rFonts w:hint="default" w:ascii="宋体" w:hAnsi="宋体" w:eastAsia="宋体" w:cs="宋体"/>
                <w:b/>
                <w:sz w:val="35"/>
                <w:szCs w:val="22"/>
                <w:highlight w:val="none"/>
                <w:lang w:val="zh-CN" w:eastAsia="zh-CN" w:bidi="zh-CN"/>
              </w:rPr>
            </w:pPr>
          </w:p>
          <w:p w14:paraId="74A300AD">
            <w:pPr>
              <w:keepNext w:val="0"/>
              <w:keepLines w:val="0"/>
              <w:widowControl w:val="0"/>
              <w:suppressLineNumbers w:val="0"/>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最后报价</w:t>
            </w:r>
          </w:p>
          <w:p w14:paraId="732B6262">
            <w:pPr>
              <w:keepNext w:val="0"/>
              <w:keepLines w:val="0"/>
              <w:widowControl w:val="0"/>
              <w:suppressLineNumbers w:val="0"/>
              <w:autoSpaceDE w:val="0"/>
              <w:autoSpaceDN w:val="0"/>
              <w:spacing w:before="161" w:beforeAutospacing="0" w:after="0" w:afterAutospacing="0" w:line="240" w:lineRule="auto"/>
              <w:ind w:left="245"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（详见备注说明）</w:t>
            </w:r>
          </w:p>
        </w:tc>
        <w:tc>
          <w:tcPr>
            <w:tcW w:w="6064" w:type="dxa"/>
            <w:noWrap w:val="0"/>
            <w:vAlign w:val="top"/>
          </w:tcPr>
          <w:p w14:paraId="19FECDEC">
            <w:pPr>
              <w:keepNext w:val="0"/>
              <w:keepLines w:val="0"/>
              <w:widowControl w:val="0"/>
              <w:suppressLineNumbers w:val="0"/>
              <w:autoSpaceDE w:val="0"/>
              <w:autoSpaceDN w:val="0"/>
              <w:spacing w:before="0" w:beforeAutospacing="0" w:after="0" w:afterAutospacing="0" w:line="240" w:lineRule="auto"/>
              <w:ind w:left="0" w:right="0"/>
              <w:jc w:val="left"/>
              <w:rPr>
                <w:rFonts w:hint="default"/>
                <w:highlight w:val="none"/>
                <w:lang w:val="zh-CN" w:eastAsia="zh-CN"/>
              </w:rPr>
            </w:pPr>
          </w:p>
          <w:p w14:paraId="45BC1087">
            <w:pPr>
              <w:keepNext w:val="0"/>
              <w:keepLines w:val="0"/>
              <w:widowControl w:val="0"/>
              <w:suppressLineNumbers w:val="0"/>
              <w:autoSpaceDE w:val="0"/>
              <w:autoSpaceDN w:val="0"/>
              <w:spacing w:before="9" w:beforeAutospacing="0" w:after="0" w:afterAutospacing="0" w:line="240" w:lineRule="auto"/>
              <w:ind w:left="0" w:right="0"/>
              <w:jc w:val="left"/>
              <w:rPr>
                <w:rFonts w:hint="default"/>
                <w:highlight w:val="none"/>
                <w:lang w:val="zh-CN" w:eastAsia="zh-CN"/>
              </w:rPr>
            </w:pPr>
          </w:p>
          <w:p w14:paraId="25EEA130">
            <w:pPr>
              <w:widowControl w:val="0"/>
              <w:tabs>
                <w:tab w:val="left" w:pos="1846"/>
              </w:tabs>
              <w:ind w:left="107"/>
              <w:rPr>
                <w:rFonts w:ascii="宋体" w:hAnsi="宋体" w:eastAsia="宋体" w:cs="宋体"/>
                <w:color w:val="auto"/>
                <w:kern w:val="1"/>
                <w:sz w:val="24"/>
                <w:szCs w:val="22"/>
                <w:highlight w:val="none"/>
                <w:u w:val="single"/>
                <w:lang w:val="en-US" w:eastAsia="zh-CN" w:bidi="ar-SA"/>
              </w:rPr>
            </w:pPr>
            <w:r>
              <w:rPr>
                <w:rFonts w:hint="default" w:ascii="宋体" w:hAnsi="宋体" w:eastAsia="宋体" w:cs="宋体"/>
                <w:color w:val="auto"/>
                <w:kern w:val="1"/>
                <w:sz w:val="24"/>
                <w:szCs w:val="22"/>
                <w:highlight w:val="none"/>
                <w:lang w:val="zh-CN" w:eastAsia="zh-CN" w:bidi="zh-CN"/>
              </w:rPr>
              <w:t>人民币</w:t>
            </w:r>
            <w:r>
              <w:rPr>
                <w:rFonts w:ascii="宋体" w:hAnsi="宋体" w:eastAsia="宋体" w:cs="宋体"/>
                <w:color w:val="auto"/>
                <w:kern w:val="1"/>
                <w:sz w:val="24"/>
                <w:szCs w:val="22"/>
                <w:highlight w:val="none"/>
                <w:lang w:val="en-US" w:eastAsia="zh-CN" w:bidi="ar-SA"/>
              </w:rPr>
              <w:t>大写：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p>
          <w:p w14:paraId="3A5F7A40">
            <w:pPr>
              <w:widowControl w:val="0"/>
              <w:tabs>
                <w:tab w:val="left" w:pos="1846"/>
              </w:tabs>
              <w:ind w:left="107" w:firstLine="720" w:firstLineChars="300"/>
              <w:rPr>
                <w:rFonts w:hint="eastAsia" w:ascii="宋体" w:hAnsi="宋体" w:eastAsia="宋体" w:cs="宋体"/>
                <w:color w:val="auto"/>
                <w:kern w:val="1"/>
                <w:sz w:val="24"/>
                <w:szCs w:val="22"/>
                <w:highlight w:val="none"/>
                <w:u w:val="single"/>
                <w:lang w:val="en-US" w:eastAsia="zh-CN" w:bidi="ar-SA"/>
              </w:rPr>
            </w:pPr>
            <w:r>
              <w:rPr>
                <w:rFonts w:hint="eastAsia" w:ascii="宋体" w:hAnsi="宋体" w:eastAsia="宋体" w:cs="宋体"/>
                <w:color w:val="auto"/>
                <w:kern w:val="1"/>
                <w:sz w:val="24"/>
                <w:szCs w:val="22"/>
                <w:highlight w:val="none"/>
                <w:u w:val="none"/>
                <w:lang w:val="en-US" w:eastAsia="zh-CN" w:bidi="ar-SA"/>
              </w:rPr>
              <w:t>小写：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r>
              <w:rPr>
                <w:rFonts w:hint="eastAsia"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non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p>
          <w:p w14:paraId="4FDCB164">
            <w:pPr>
              <w:keepNext w:val="0"/>
              <w:keepLines w:val="0"/>
              <w:widowControl w:val="0"/>
              <w:suppressLineNumbers w:val="0"/>
              <w:tabs>
                <w:tab w:val="left" w:pos="4482"/>
              </w:tabs>
              <w:autoSpaceDE w:val="0"/>
              <w:autoSpaceDN w:val="0"/>
              <w:spacing w:before="0" w:beforeAutospacing="0" w:after="0" w:afterAutospacing="0" w:line="240" w:lineRule="auto"/>
              <w:ind w:left="107" w:right="0"/>
              <w:jc w:val="left"/>
              <w:rPr>
                <w:rFonts w:ascii="Times New Roman" w:hAnsi="Times New Roman" w:eastAsia="宋体" w:cs="Times New Roman"/>
                <w:color w:val="auto"/>
                <w:sz w:val="24"/>
                <w:highlight w:val="none"/>
              </w:rPr>
            </w:pPr>
          </w:p>
          <w:p w14:paraId="611D4F8E">
            <w:pPr>
              <w:keepNext w:val="0"/>
              <w:keepLines w:val="0"/>
              <w:widowControl w:val="0"/>
              <w:suppressLineNumbers w:val="0"/>
              <w:tabs>
                <w:tab w:val="left" w:pos="1547"/>
              </w:tabs>
              <w:autoSpaceDE w:val="0"/>
              <w:autoSpaceDN w:val="0"/>
              <w:spacing w:before="0" w:beforeAutospacing="0" w:after="0" w:afterAutospacing="0" w:line="240" w:lineRule="auto"/>
              <w:ind w:left="107" w:right="0"/>
              <w:jc w:val="left"/>
              <w:rPr>
                <w:rFonts w:hint="default"/>
                <w:highlight w:val="none"/>
                <w:lang w:val="zh-CN" w:eastAsia="zh-CN"/>
              </w:rPr>
            </w:pPr>
            <w:r>
              <w:rPr>
                <w:rFonts w:ascii="Times New Roman" w:hAnsi="Times New Roman" w:eastAsia="宋体" w:cs="Times New Roman"/>
                <w:color w:val="auto"/>
                <w:sz w:val="24"/>
                <w:highlight w:val="none"/>
              </w:rPr>
              <w:t>（精确到小数点后两位，可编辑）</w:t>
            </w:r>
          </w:p>
        </w:tc>
      </w:tr>
      <w:tr w14:paraId="0D740D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0" w:hRule="atLeast"/>
        </w:trPr>
        <w:tc>
          <w:tcPr>
            <w:tcW w:w="2461" w:type="dxa"/>
            <w:noWrap w:val="0"/>
            <w:vAlign w:val="top"/>
          </w:tcPr>
          <w:p w14:paraId="361FF863">
            <w:pPr>
              <w:keepNext w:val="0"/>
              <w:keepLines w:val="0"/>
              <w:widowControl w:val="0"/>
              <w:suppressLineNumbers w:val="0"/>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4E14783">
            <w:pPr>
              <w:keepNext w:val="0"/>
              <w:keepLines w:val="0"/>
              <w:widowControl w:val="0"/>
              <w:suppressLineNumbers w:val="0"/>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BBC839F">
            <w:pPr>
              <w:keepNext w:val="0"/>
              <w:keepLines w:val="0"/>
              <w:widowControl w:val="0"/>
              <w:suppressLineNumbers w:val="0"/>
              <w:autoSpaceDE w:val="0"/>
              <w:autoSpaceDN w:val="0"/>
              <w:spacing w:before="10" w:beforeAutospacing="0" w:after="0" w:afterAutospacing="0" w:line="240" w:lineRule="auto"/>
              <w:ind w:left="0" w:right="0"/>
              <w:jc w:val="left"/>
              <w:rPr>
                <w:rFonts w:hint="default" w:ascii="宋体" w:hAnsi="宋体" w:eastAsia="宋体" w:cs="宋体"/>
                <w:b/>
                <w:sz w:val="28"/>
                <w:szCs w:val="22"/>
                <w:highlight w:val="none"/>
                <w:lang w:val="zh-CN" w:eastAsia="zh-CN" w:bidi="zh-CN"/>
              </w:rPr>
            </w:pPr>
          </w:p>
          <w:p w14:paraId="0122A78D">
            <w:pPr>
              <w:keepNext w:val="0"/>
              <w:keepLines w:val="0"/>
              <w:widowControl w:val="0"/>
              <w:suppressLineNumbers w:val="0"/>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备注说明</w:t>
            </w:r>
          </w:p>
        </w:tc>
        <w:tc>
          <w:tcPr>
            <w:tcW w:w="6064" w:type="dxa"/>
            <w:noWrap w:val="0"/>
            <w:vAlign w:val="top"/>
          </w:tcPr>
          <w:p w14:paraId="17F7D29B">
            <w:pPr>
              <w:keepNext w:val="0"/>
              <w:keepLines w:val="0"/>
              <w:widowControl w:val="0"/>
              <w:suppressLineNumbers w:val="0"/>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bl>
    <w:p w14:paraId="18D0BAF5">
      <w:pPr>
        <w:widowControl w:val="0"/>
        <w:autoSpaceDE w:val="0"/>
        <w:autoSpaceDN w:val="0"/>
        <w:spacing w:before="79" w:after="0" w:line="240" w:lineRule="auto"/>
        <w:ind w:left="4421" w:right="0"/>
        <w:jc w:val="left"/>
        <w:rPr>
          <w:rFonts w:ascii="宋体" w:hAnsi="宋体" w:eastAsia="宋体" w:cs="宋体"/>
          <w:sz w:val="24"/>
          <w:szCs w:val="24"/>
          <w:highlight w:val="none"/>
          <w:lang w:val="zh-CN" w:eastAsia="zh-CN" w:bidi="zh-CN"/>
        </w:rPr>
      </w:pPr>
      <w:r>
        <w:rPr>
          <w:rFonts w:ascii="宋体" w:hAnsi="宋体" w:eastAsia="宋体" w:cs="宋体"/>
          <w:sz w:val="24"/>
          <w:szCs w:val="24"/>
          <w:highlight w:val="none"/>
          <w:lang w:val="zh-CN" w:eastAsia="zh-CN" w:bidi="zh-CN"/>
        </w:rPr>
        <w:t>供应商公章或授权代表签字：</w:t>
      </w:r>
    </w:p>
    <w:p w14:paraId="487A7DE1">
      <w:pPr>
        <w:widowControl w:val="0"/>
        <w:tabs>
          <w:tab w:val="left" w:pos="5861"/>
          <w:tab w:val="left" w:pos="8556"/>
        </w:tabs>
        <w:autoSpaceDE w:val="0"/>
        <w:autoSpaceDN w:val="0"/>
        <w:spacing w:before="160" w:after="0" w:line="240" w:lineRule="auto"/>
        <w:ind w:left="4421" w:right="0"/>
        <w:jc w:val="left"/>
        <w:rPr>
          <w:rFonts w:ascii="Times New Roman" w:hAnsi="宋体" w:eastAsia="Times New Roman" w:cs="宋体"/>
          <w:sz w:val="24"/>
          <w:szCs w:val="24"/>
          <w:highlight w:val="none"/>
          <w:lang w:val="zh-CN" w:eastAsia="zh-CN" w:bidi="zh-CN"/>
        </w:rPr>
      </w:pPr>
      <w:r>
        <w:rPr>
          <w:rFonts w:ascii="宋体" w:hAnsi="宋体" w:eastAsia="宋体" w:cs="宋体"/>
          <w:sz w:val="24"/>
          <w:szCs w:val="24"/>
          <w:highlight w:val="none"/>
          <w:lang w:val="zh-CN" w:eastAsia="zh-CN" w:bidi="zh-CN"/>
        </w:rPr>
        <w:t>日</w:t>
      </w:r>
      <w:r>
        <w:rPr>
          <w:rFonts w:ascii="宋体" w:hAnsi="宋体" w:eastAsia="宋体" w:cs="宋体"/>
          <w:sz w:val="24"/>
          <w:szCs w:val="24"/>
          <w:highlight w:val="none"/>
          <w:lang w:val="zh-CN" w:eastAsia="zh-CN" w:bidi="zh-CN"/>
        </w:rPr>
        <w:tab/>
      </w:r>
      <w:r>
        <w:rPr>
          <w:rFonts w:ascii="宋体" w:hAnsi="宋体" w:eastAsia="宋体" w:cs="宋体"/>
          <w:sz w:val="24"/>
          <w:szCs w:val="24"/>
          <w:highlight w:val="none"/>
          <w:lang w:val="zh-CN" w:eastAsia="zh-CN" w:bidi="zh-CN"/>
        </w:rPr>
        <w:t>期：</w:t>
      </w:r>
      <w:r>
        <w:rPr>
          <w:rFonts w:ascii="Times New Roman" w:hAnsi="宋体" w:eastAsia="Times New Roman" w:cs="宋体"/>
          <w:sz w:val="24"/>
          <w:szCs w:val="24"/>
          <w:highlight w:val="none"/>
          <w:u w:val="single"/>
          <w:lang w:val="zh-CN" w:eastAsia="zh-CN" w:bidi="zh-CN"/>
        </w:rPr>
        <w:t xml:space="preserve"> </w:t>
      </w:r>
      <w:r>
        <w:rPr>
          <w:rFonts w:ascii="Times New Roman" w:hAnsi="宋体" w:eastAsia="Times New Roman" w:cs="宋体"/>
          <w:sz w:val="24"/>
          <w:szCs w:val="24"/>
          <w:highlight w:val="none"/>
          <w:u w:val="single"/>
          <w:lang w:val="zh-CN" w:eastAsia="zh-CN" w:bidi="zh-CN"/>
        </w:rPr>
        <w:tab/>
      </w:r>
    </w:p>
    <w:p w14:paraId="0BD7A298">
      <w:pPr>
        <w:bidi w:val="0"/>
        <w:spacing w:line="360" w:lineRule="auto"/>
        <w:jc w:val="left"/>
        <w:rPr>
          <w:rFonts w:hint="eastAsia" w:ascii="宋体" w:hAnsi="宋体" w:eastAsia="宋体" w:cs="宋体"/>
          <w:b/>
          <w:bCs/>
          <w:sz w:val="24"/>
          <w:szCs w:val="22"/>
          <w:highlight w:val="none"/>
          <w:lang w:val="zh-CN" w:eastAsia="zh-CN"/>
        </w:rPr>
      </w:pPr>
      <w:r>
        <w:rPr>
          <w:rFonts w:hint="eastAsia" w:ascii="宋体" w:hAnsi="宋体" w:eastAsia="宋体" w:cs="宋体"/>
          <w:b/>
          <w:bCs/>
          <w:sz w:val="24"/>
          <w:szCs w:val="22"/>
          <w:highlight w:val="none"/>
          <w:lang w:val="zh-CN" w:eastAsia="zh-CN"/>
        </w:rPr>
        <w:t>注：</w:t>
      </w:r>
      <w:r>
        <w:rPr>
          <w:rFonts w:hint="eastAsia" w:ascii="宋体" w:hAnsi="宋体" w:eastAsia="宋体" w:cs="宋体"/>
          <w:b/>
          <w:bCs/>
          <w:sz w:val="24"/>
          <w:szCs w:val="22"/>
          <w:highlight w:val="none"/>
          <w:lang w:val="en-US" w:eastAsia="zh-CN"/>
        </w:rPr>
        <w:t>1、</w:t>
      </w:r>
      <w:r>
        <w:rPr>
          <w:rFonts w:hint="eastAsia" w:ascii="宋体" w:hAnsi="宋体" w:eastAsia="宋体" w:cs="宋体"/>
          <w:b/>
          <w:bCs/>
          <w:sz w:val="24"/>
          <w:szCs w:val="22"/>
          <w:highlight w:val="none"/>
          <w:lang w:val="zh-CN" w:eastAsia="zh-CN"/>
        </w:rPr>
        <w:t>本页《报价表》由供应商在现场依</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情况填写，请带至</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现场备填。考虑</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报价的方便，供应商在填写最终承诺报价后，（第一次报价-最终承诺报价）除以第一次报价后得出的优惠率视同为需求表中全部分项设备、工程量或服务的优惠浮动值（特定分项优惠除外）。此优惠率调整原则适用于合同内价格的计算及项目增减、变更时价格的计算。</w:t>
      </w:r>
    </w:p>
    <w:p w14:paraId="50F1CE27">
      <w:pPr>
        <w:widowControl w:val="0"/>
        <w:numPr>
          <w:ilvl w:val="0"/>
          <w:numId w:val="1"/>
        </w:numPr>
        <w:spacing w:line="360" w:lineRule="auto"/>
        <w:ind w:left="0" w:leftChars="0" w:firstLine="0" w:firstLineChars="0"/>
        <w:jc w:val="left"/>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本《</w:t>
      </w:r>
      <w:r>
        <w:rPr>
          <w:rFonts w:hint="eastAsia" w:ascii="宋体" w:hAnsi="宋体" w:eastAsia="宋体" w:cs="宋体"/>
          <w:b/>
          <w:color w:val="FF0000"/>
          <w:kern w:val="2"/>
          <w:sz w:val="24"/>
          <w:szCs w:val="24"/>
          <w:highlight w:val="none"/>
          <w:lang w:val="zh-CN" w:eastAsia="zh-CN" w:bidi="ar-SA"/>
        </w:rPr>
        <w:t>最终承诺报价表</w:t>
      </w:r>
      <w:r>
        <w:rPr>
          <w:rFonts w:hint="eastAsia" w:ascii="宋体" w:hAnsi="宋体" w:eastAsia="宋体" w:cs="宋体"/>
          <w:b/>
          <w:color w:val="FF0000"/>
          <w:kern w:val="2"/>
          <w:sz w:val="24"/>
          <w:szCs w:val="24"/>
          <w:highlight w:val="none"/>
          <w:lang w:val="en-US" w:eastAsia="zh-CN" w:bidi="ar-SA"/>
        </w:rPr>
        <w:t>》由供应商在谈判现场依谈判情况填写（勿需装订在谈判文件内），最终报价书由供应商在成交后提供（一式三份）。</w:t>
      </w:r>
    </w:p>
    <w:p w14:paraId="19D72507">
      <w:pPr>
        <w:widowControl w:val="0"/>
        <w:numPr>
          <w:ilvl w:val="0"/>
          <w:numId w:val="1"/>
        </w:numPr>
        <w:spacing w:after="120" w:line="400" w:lineRule="atLeast"/>
        <w:ind w:left="0" w:leftChars="0" w:firstLine="0" w:firstLineChars="0"/>
        <w:jc w:val="both"/>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最终报价单位为元，最多保留两位小数。</w:t>
      </w:r>
    </w:p>
    <w:p w14:paraId="6D77A1AF">
      <w:pPr>
        <w:widowControl w:val="0"/>
        <w:numPr>
          <w:ilvl w:val="0"/>
          <w:numId w:val="0"/>
        </w:numPr>
        <w:spacing w:after="120" w:line="400" w:lineRule="atLeast"/>
        <w:ind w:leftChars="0"/>
        <w:jc w:val="both"/>
        <w:rPr>
          <w:rFonts w:ascii="Times New Roman" w:hAnsi="Times New Roman" w:eastAsia="宋体" w:cs="Times New Roman"/>
          <w:bCs/>
          <w:kern w:val="2"/>
          <w:sz w:val="24"/>
          <w:szCs w:val="20"/>
          <w:highlight w:val="none"/>
          <w:lang w:val="en-US" w:eastAsia="zh-CN" w:bidi="ar-SA"/>
        </w:rPr>
      </w:pPr>
      <w:r>
        <w:rPr>
          <w:rFonts w:hint="eastAsia" w:ascii="宋体" w:hAnsi="宋体" w:eastAsia="宋体" w:cs="宋体"/>
          <w:b/>
          <w:color w:val="FF0000"/>
          <w:kern w:val="2"/>
          <w:sz w:val="24"/>
          <w:szCs w:val="24"/>
          <w:highlight w:val="none"/>
          <w:lang w:val="en-US" w:eastAsia="zh-CN" w:bidi="ar-SA"/>
        </w:rPr>
        <w:t>4、承包人的后一轮报价不得高于前一轮报价。</w:t>
      </w:r>
      <w:r>
        <w:rPr>
          <w:rFonts w:hint="eastAsia" w:ascii="Times New Roman" w:hAnsi="Times New Roman" w:eastAsia="宋体" w:cs="Times New Roman"/>
          <w:bCs/>
          <w:kern w:val="2"/>
          <w:sz w:val="24"/>
          <w:szCs w:val="20"/>
          <w:highlight w:val="none"/>
          <w:lang w:val="en-US" w:eastAsia="zh-CN" w:bidi="ar-SA"/>
        </w:rPr>
        <w:t xml:space="preserve"> </w:t>
      </w:r>
    </w:p>
    <w:sectPr>
      <w:headerReference r:id="rId5" w:type="default"/>
      <w:footerReference r:id="rId6" w:type="default"/>
      <w:pgSz w:w="11906" w:h="16838"/>
      <w:pgMar w:top="1440" w:right="1531" w:bottom="1440" w:left="1531"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0DEE800-8A76-4A30-8673-62AF6BEEFE3C}"/>
  </w:font>
  <w:font w:name="黑体">
    <w:panose1 w:val="02010609060101010101"/>
    <w:charset w:val="86"/>
    <w:family w:val="auto"/>
    <w:pitch w:val="default"/>
    <w:sig w:usb0="800002BF" w:usb1="38CF7CFA" w:usb2="00000016" w:usb3="00000000" w:csb0="00040001" w:csb1="00000000"/>
    <w:embedRegular r:id="rId2" w:fontKey="{AA8992D2-C9A2-46DA-A115-A7BB4BB1EA5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1777C39D-ABC9-4D60-94B9-37FA83EE5B9F}"/>
  </w:font>
  <w:font w:name="华文中宋">
    <w:panose1 w:val="02010600040101010101"/>
    <w:charset w:val="86"/>
    <w:family w:val="auto"/>
    <w:pitch w:val="default"/>
    <w:sig w:usb0="00000287" w:usb1="080F0000" w:usb2="00000000" w:usb3="00000000" w:csb0="0004009F" w:csb1="DFD70000"/>
    <w:embedRegular r:id="rId4" w:fontKey="{76A20C47-2545-49DB-A1B8-683DAE44EC87}"/>
  </w:font>
  <w:font w:name="仿宋">
    <w:panose1 w:val="02010609060101010101"/>
    <w:charset w:val="86"/>
    <w:family w:val="auto"/>
    <w:pitch w:val="default"/>
    <w:sig w:usb0="800002BF" w:usb1="38CF7CFA" w:usb2="00000016" w:usb3="00000000" w:csb0="00040001" w:csb1="00000000"/>
    <w:embedRegular r:id="rId5" w:fontKey="{6997077E-3B97-41AB-A889-9A10F790996D}"/>
  </w:font>
  <w:font w:name="仿宋_GB2312">
    <w:panose1 w:val="02010609030101010101"/>
    <w:charset w:val="86"/>
    <w:family w:val="auto"/>
    <w:pitch w:val="default"/>
    <w:sig w:usb0="00000001" w:usb1="080E0000" w:usb2="00000000" w:usb3="00000000" w:csb0="00040000" w:csb1="00000000"/>
    <w:embedRegular r:id="rId6" w:fontKey="{5F447F65-248C-4E12-AE5A-3AF8CF29039B}"/>
  </w:font>
  <w:font w:name="Tahoma">
    <w:panose1 w:val="020B0604030504040204"/>
    <w:charset w:val="00"/>
    <w:family w:val="swiss"/>
    <w:pitch w:val="default"/>
    <w:sig w:usb0="E1002EFF" w:usb1="C000605B" w:usb2="00000029" w:usb3="00000000" w:csb0="200101FF" w:csb1="20280000"/>
    <w:embedRegular r:id="rId7" w:fontKey="{D0571873-5A40-43C6-832D-123C0BD3DF94}"/>
  </w:font>
  <w:font w:name="WPSEMBED1">
    <w:panose1 w:val="02010600040101010101"/>
    <w:charset w:val="86"/>
    <w:family w:val="auto"/>
    <w:pitch w:val="default"/>
    <w:sig w:usb0="00000287" w:usb1="080F0000" w:usb2="00000000" w:usb3="00000000" w:csb0="0004009F" w:csb1="DFD70000"/>
  </w:font>
  <w:font w:name="WPSEMBED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BBB87">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3FBDDEA"/>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14:paraId="73FBDDEA"/>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FA452">
    <w:pPr>
      <w:framePr w:wrap="around" w:vAnchor="text" w:hAnchor="margin" w:xAlign="center" w:yAlign="inside"/>
    </w:pPr>
    <w:r>
      <w:fldChar w:fldCharType="begin"/>
    </w:r>
    <w:r>
      <w:instrText xml:space="preserve">PAGE  </w:instrText>
    </w:r>
    <w:r>
      <w:fldChar w:fldCharType="separate"/>
    </w:r>
    <w:r>
      <w:t>30</w:t>
    </w:r>
    <w:r>
      <w:fldChar w:fldCharType="end"/>
    </w:r>
  </w:p>
  <w:p w14:paraId="0E36ACEA"/>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610C7">
    <w:pPr>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2BE5F">
    <w:pPr>
      <w:pBdr>
        <w:bottom w:val="single" w:color="auto" w:sz="6" w:space="0"/>
      </w:pBdr>
      <w:tabs>
        <w:tab w:val="left" w:pos="8460"/>
        <w:tab w:val="left" w:pos="9180"/>
      </w:tabs>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3FBDB6"/>
    <w:multiLevelType w:val="singleLevel"/>
    <w:tmpl w:val="A43FBDB6"/>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BjYWVjMjhkMGQxZTQzOWUxZGFiYWFjYjA3OTkxMzQifQ=="/>
  </w:docVars>
  <w:rsids>
    <w:rsidRoot w:val="002D677B"/>
    <w:rsid w:val="0000457F"/>
    <w:rsid w:val="00004DDF"/>
    <w:rsid w:val="000145D1"/>
    <w:rsid w:val="00015C71"/>
    <w:rsid w:val="00017CF2"/>
    <w:rsid w:val="00020147"/>
    <w:rsid w:val="000353D2"/>
    <w:rsid w:val="00036C36"/>
    <w:rsid w:val="00042454"/>
    <w:rsid w:val="0004247B"/>
    <w:rsid w:val="00054BA6"/>
    <w:rsid w:val="00057B34"/>
    <w:rsid w:val="00066473"/>
    <w:rsid w:val="00066BCF"/>
    <w:rsid w:val="00071873"/>
    <w:rsid w:val="000813B9"/>
    <w:rsid w:val="00083A3D"/>
    <w:rsid w:val="00085013"/>
    <w:rsid w:val="0008734A"/>
    <w:rsid w:val="00090C43"/>
    <w:rsid w:val="00091912"/>
    <w:rsid w:val="00092365"/>
    <w:rsid w:val="00095459"/>
    <w:rsid w:val="000A3D75"/>
    <w:rsid w:val="000B0A7F"/>
    <w:rsid w:val="000B1F7E"/>
    <w:rsid w:val="000C2A18"/>
    <w:rsid w:val="000D2325"/>
    <w:rsid w:val="000D40DA"/>
    <w:rsid w:val="000E6F6E"/>
    <w:rsid w:val="0010048A"/>
    <w:rsid w:val="001055FC"/>
    <w:rsid w:val="0011125F"/>
    <w:rsid w:val="001252D5"/>
    <w:rsid w:val="00125BEB"/>
    <w:rsid w:val="001260B2"/>
    <w:rsid w:val="00133776"/>
    <w:rsid w:val="00135355"/>
    <w:rsid w:val="00146758"/>
    <w:rsid w:val="00146D70"/>
    <w:rsid w:val="00156254"/>
    <w:rsid w:val="00163D99"/>
    <w:rsid w:val="001723C8"/>
    <w:rsid w:val="00184FCE"/>
    <w:rsid w:val="00185BC3"/>
    <w:rsid w:val="00194F7B"/>
    <w:rsid w:val="001A0CA9"/>
    <w:rsid w:val="001A3254"/>
    <w:rsid w:val="001A60C9"/>
    <w:rsid w:val="001B57E1"/>
    <w:rsid w:val="001C662F"/>
    <w:rsid w:val="001F0545"/>
    <w:rsid w:val="001F7548"/>
    <w:rsid w:val="00201BAF"/>
    <w:rsid w:val="00204BEE"/>
    <w:rsid w:val="00204ED9"/>
    <w:rsid w:val="0021447E"/>
    <w:rsid w:val="002175D2"/>
    <w:rsid w:val="00222133"/>
    <w:rsid w:val="00230806"/>
    <w:rsid w:val="00232B23"/>
    <w:rsid w:val="002656AE"/>
    <w:rsid w:val="00295D2C"/>
    <w:rsid w:val="002A5B98"/>
    <w:rsid w:val="002B39EE"/>
    <w:rsid w:val="002B475D"/>
    <w:rsid w:val="002B7BFC"/>
    <w:rsid w:val="002C3E11"/>
    <w:rsid w:val="002D4E2E"/>
    <w:rsid w:val="002D508E"/>
    <w:rsid w:val="002D677B"/>
    <w:rsid w:val="002E1A23"/>
    <w:rsid w:val="002F32E7"/>
    <w:rsid w:val="002F3B9A"/>
    <w:rsid w:val="002F5374"/>
    <w:rsid w:val="002F5CAB"/>
    <w:rsid w:val="003124C3"/>
    <w:rsid w:val="003342EF"/>
    <w:rsid w:val="00341CB0"/>
    <w:rsid w:val="003452C5"/>
    <w:rsid w:val="00356109"/>
    <w:rsid w:val="00360D12"/>
    <w:rsid w:val="00364313"/>
    <w:rsid w:val="00372C51"/>
    <w:rsid w:val="003808D6"/>
    <w:rsid w:val="00384281"/>
    <w:rsid w:val="00387848"/>
    <w:rsid w:val="003A03AB"/>
    <w:rsid w:val="003B3183"/>
    <w:rsid w:val="003D04C4"/>
    <w:rsid w:val="003D7A8F"/>
    <w:rsid w:val="003E0B3C"/>
    <w:rsid w:val="003E7C3B"/>
    <w:rsid w:val="003F6E20"/>
    <w:rsid w:val="00424DA5"/>
    <w:rsid w:val="004413B4"/>
    <w:rsid w:val="00443BAF"/>
    <w:rsid w:val="00453F7D"/>
    <w:rsid w:val="00456571"/>
    <w:rsid w:val="004577CD"/>
    <w:rsid w:val="00466DAC"/>
    <w:rsid w:val="00470ABC"/>
    <w:rsid w:val="00473031"/>
    <w:rsid w:val="004835F8"/>
    <w:rsid w:val="004A0CE4"/>
    <w:rsid w:val="004C30F6"/>
    <w:rsid w:val="004C38E2"/>
    <w:rsid w:val="004C64FF"/>
    <w:rsid w:val="004D17B6"/>
    <w:rsid w:val="004D5F5D"/>
    <w:rsid w:val="004F5334"/>
    <w:rsid w:val="004F56C3"/>
    <w:rsid w:val="0050494E"/>
    <w:rsid w:val="0050639B"/>
    <w:rsid w:val="005075CD"/>
    <w:rsid w:val="00524605"/>
    <w:rsid w:val="00524A87"/>
    <w:rsid w:val="00533AAE"/>
    <w:rsid w:val="00554CE3"/>
    <w:rsid w:val="005654C3"/>
    <w:rsid w:val="005C2271"/>
    <w:rsid w:val="005D39D1"/>
    <w:rsid w:val="005E56CC"/>
    <w:rsid w:val="00600219"/>
    <w:rsid w:val="00603819"/>
    <w:rsid w:val="006128B9"/>
    <w:rsid w:val="00614518"/>
    <w:rsid w:val="00645DFC"/>
    <w:rsid w:val="00654D2C"/>
    <w:rsid w:val="00661562"/>
    <w:rsid w:val="00671B50"/>
    <w:rsid w:val="00673CC0"/>
    <w:rsid w:val="006A2E5F"/>
    <w:rsid w:val="006B21E7"/>
    <w:rsid w:val="006D098B"/>
    <w:rsid w:val="006D3DB9"/>
    <w:rsid w:val="006F01D1"/>
    <w:rsid w:val="006F3D3E"/>
    <w:rsid w:val="00700B84"/>
    <w:rsid w:val="00703A7D"/>
    <w:rsid w:val="00732744"/>
    <w:rsid w:val="00736DF2"/>
    <w:rsid w:val="007400D8"/>
    <w:rsid w:val="007407E7"/>
    <w:rsid w:val="007462B9"/>
    <w:rsid w:val="00766A44"/>
    <w:rsid w:val="00767BB2"/>
    <w:rsid w:val="00777913"/>
    <w:rsid w:val="0078768E"/>
    <w:rsid w:val="0079235B"/>
    <w:rsid w:val="00795808"/>
    <w:rsid w:val="007B00FB"/>
    <w:rsid w:val="007D19ED"/>
    <w:rsid w:val="007E5141"/>
    <w:rsid w:val="007F2582"/>
    <w:rsid w:val="007F651E"/>
    <w:rsid w:val="00810784"/>
    <w:rsid w:val="00812112"/>
    <w:rsid w:val="008207A6"/>
    <w:rsid w:val="00821EE8"/>
    <w:rsid w:val="00824069"/>
    <w:rsid w:val="00833ADC"/>
    <w:rsid w:val="00846353"/>
    <w:rsid w:val="008538EB"/>
    <w:rsid w:val="0086536B"/>
    <w:rsid w:val="008A6D3D"/>
    <w:rsid w:val="008B0E3B"/>
    <w:rsid w:val="008C0ED2"/>
    <w:rsid w:val="008D216E"/>
    <w:rsid w:val="008D61A5"/>
    <w:rsid w:val="008D7F56"/>
    <w:rsid w:val="008E7E3B"/>
    <w:rsid w:val="00922A63"/>
    <w:rsid w:val="00925990"/>
    <w:rsid w:val="00927B9E"/>
    <w:rsid w:val="00934FDF"/>
    <w:rsid w:val="00940C0D"/>
    <w:rsid w:val="0094320A"/>
    <w:rsid w:val="00950DC5"/>
    <w:rsid w:val="00954BF2"/>
    <w:rsid w:val="00966C14"/>
    <w:rsid w:val="0097577C"/>
    <w:rsid w:val="00980525"/>
    <w:rsid w:val="009A43DC"/>
    <w:rsid w:val="009B32A9"/>
    <w:rsid w:val="009B5EF1"/>
    <w:rsid w:val="009C7264"/>
    <w:rsid w:val="00A17EB8"/>
    <w:rsid w:val="00A2462A"/>
    <w:rsid w:val="00A30C14"/>
    <w:rsid w:val="00A42929"/>
    <w:rsid w:val="00A501AB"/>
    <w:rsid w:val="00A5114C"/>
    <w:rsid w:val="00A52EA8"/>
    <w:rsid w:val="00A612D2"/>
    <w:rsid w:val="00A70D7B"/>
    <w:rsid w:val="00A74097"/>
    <w:rsid w:val="00A83F1C"/>
    <w:rsid w:val="00A85BA0"/>
    <w:rsid w:val="00A95755"/>
    <w:rsid w:val="00A957C6"/>
    <w:rsid w:val="00A961C3"/>
    <w:rsid w:val="00AA4F10"/>
    <w:rsid w:val="00AB51D7"/>
    <w:rsid w:val="00AC4741"/>
    <w:rsid w:val="00AD19A2"/>
    <w:rsid w:val="00AD7B9F"/>
    <w:rsid w:val="00B14C14"/>
    <w:rsid w:val="00B27CFD"/>
    <w:rsid w:val="00B3083C"/>
    <w:rsid w:val="00B57818"/>
    <w:rsid w:val="00B6310C"/>
    <w:rsid w:val="00B80346"/>
    <w:rsid w:val="00BA10A8"/>
    <w:rsid w:val="00BA136D"/>
    <w:rsid w:val="00BA2F6F"/>
    <w:rsid w:val="00BA3764"/>
    <w:rsid w:val="00BA45BA"/>
    <w:rsid w:val="00BB7605"/>
    <w:rsid w:val="00BC5BFF"/>
    <w:rsid w:val="00C05EA8"/>
    <w:rsid w:val="00C23791"/>
    <w:rsid w:val="00C267D3"/>
    <w:rsid w:val="00C35B5F"/>
    <w:rsid w:val="00C500A9"/>
    <w:rsid w:val="00C5087F"/>
    <w:rsid w:val="00C734AB"/>
    <w:rsid w:val="00C73F2D"/>
    <w:rsid w:val="00C84AAC"/>
    <w:rsid w:val="00C9417F"/>
    <w:rsid w:val="00C97CD9"/>
    <w:rsid w:val="00CA3281"/>
    <w:rsid w:val="00CA32AE"/>
    <w:rsid w:val="00CA56DC"/>
    <w:rsid w:val="00CA60CE"/>
    <w:rsid w:val="00CA6A84"/>
    <w:rsid w:val="00CB77BE"/>
    <w:rsid w:val="00CC1FE3"/>
    <w:rsid w:val="00CC5D49"/>
    <w:rsid w:val="00CC7E33"/>
    <w:rsid w:val="00CE0AAD"/>
    <w:rsid w:val="00CE1386"/>
    <w:rsid w:val="00CE28E9"/>
    <w:rsid w:val="00CE3588"/>
    <w:rsid w:val="00CE64A3"/>
    <w:rsid w:val="00CF10C1"/>
    <w:rsid w:val="00CF3743"/>
    <w:rsid w:val="00D027C9"/>
    <w:rsid w:val="00D0689A"/>
    <w:rsid w:val="00D11B5E"/>
    <w:rsid w:val="00D13AEE"/>
    <w:rsid w:val="00D16453"/>
    <w:rsid w:val="00D175FB"/>
    <w:rsid w:val="00D2682E"/>
    <w:rsid w:val="00D3100A"/>
    <w:rsid w:val="00D33ECF"/>
    <w:rsid w:val="00D51A54"/>
    <w:rsid w:val="00D542F1"/>
    <w:rsid w:val="00D5688F"/>
    <w:rsid w:val="00D6083A"/>
    <w:rsid w:val="00D614F5"/>
    <w:rsid w:val="00D877FD"/>
    <w:rsid w:val="00DA2209"/>
    <w:rsid w:val="00DA2977"/>
    <w:rsid w:val="00DB4369"/>
    <w:rsid w:val="00DD1C54"/>
    <w:rsid w:val="00DD2C6C"/>
    <w:rsid w:val="00DE18CD"/>
    <w:rsid w:val="00E016F6"/>
    <w:rsid w:val="00E20914"/>
    <w:rsid w:val="00E650AD"/>
    <w:rsid w:val="00E70F0C"/>
    <w:rsid w:val="00E7612C"/>
    <w:rsid w:val="00E912B4"/>
    <w:rsid w:val="00E912EA"/>
    <w:rsid w:val="00E94A0B"/>
    <w:rsid w:val="00EA19D4"/>
    <w:rsid w:val="00EB3AB2"/>
    <w:rsid w:val="00EC5C35"/>
    <w:rsid w:val="00EC5C8C"/>
    <w:rsid w:val="00EC71D2"/>
    <w:rsid w:val="00EE4358"/>
    <w:rsid w:val="00EE5630"/>
    <w:rsid w:val="00EF2195"/>
    <w:rsid w:val="00EF3C5F"/>
    <w:rsid w:val="00EF550D"/>
    <w:rsid w:val="00F01414"/>
    <w:rsid w:val="00F0597A"/>
    <w:rsid w:val="00F101C2"/>
    <w:rsid w:val="00F21948"/>
    <w:rsid w:val="00F22829"/>
    <w:rsid w:val="00F40445"/>
    <w:rsid w:val="00F44DDB"/>
    <w:rsid w:val="00F464A7"/>
    <w:rsid w:val="00F564DA"/>
    <w:rsid w:val="00F64830"/>
    <w:rsid w:val="00F679F6"/>
    <w:rsid w:val="00F74BC0"/>
    <w:rsid w:val="00F91C4B"/>
    <w:rsid w:val="00F927AF"/>
    <w:rsid w:val="00F961ED"/>
    <w:rsid w:val="00FA1EEE"/>
    <w:rsid w:val="00FA1F71"/>
    <w:rsid w:val="00FA35DA"/>
    <w:rsid w:val="00FC1D08"/>
    <w:rsid w:val="00FE7060"/>
    <w:rsid w:val="00FF1797"/>
    <w:rsid w:val="00FF1C7C"/>
    <w:rsid w:val="00FF23EE"/>
    <w:rsid w:val="01066A48"/>
    <w:rsid w:val="014944FD"/>
    <w:rsid w:val="01565C22"/>
    <w:rsid w:val="01671BDD"/>
    <w:rsid w:val="016C71F3"/>
    <w:rsid w:val="017E1B19"/>
    <w:rsid w:val="01B12E58"/>
    <w:rsid w:val="01BB2E56"/>
    <w:rsid w:val="01C20BC1"/>
    <w:rsid w:val="01C40DDD"/>
    <w:rsid w:val="01D803E5"/>
    <w:rsid w:val="01DD3C4D"/>
    <w:rsid w:val="01E70628"/>
    <w:rsid w:val="01ED3B47"/>
    <w:rsid w:val="02056D00"/>
    <w:rsid w:val="0216715F"/>
    <w:rsid w:val="022950E4"/>
    <w:rsid w:val="0236335D"/>
    <w:rsid w:val="02405F8A"/>
    <w:rsid w:val="02560B63"/>
    <w:rsid w:val="026B700F"/>
    <w:rsid w:val="026E0D49"/>
    <w:rsid w:val="02734D70"/>
    <w:rsid w:val="02775E4F"/>
    <w:rsid w:val="027A76EE"/>
    <w:rsid w:val="02A91D81"/>
    <w:rsid w:val="02CC49C1"/>
    <w:rsid w:val="02E1776D"/>
    <w:rsid w:val="02EB4148"/>
    <w:rsid w:val="02EC3D8A"/>
    <w:rsid w:val="03052939"/>
    <w:rsid w:val="03062E20"/>
    <w:rsid w:val="03101E00"/>
    <w:rsid w:val="0311396F"/>
    <w:rsid w:val="03367AB9"/>
    <w:rsid w:val="036C7AE7"/>
    <w:rsid w:val="036F2FCB"/>
    <w:rsid w:val="038C76D9"/>
    <w:rsid w:val="03940BF7"/>
    <w:rsid w:val="039859AF"/>
    <w:rsid w:val="039D18E6"/>
    <w:rsid w:val="03B22505"/>
    <w:rsid w:val="03D23972"/>
    <w:rsid w:val="03FE01E1"/>
    <w:rsid w:val="04067181"/>
    <w:rsid w:val="041F4640"/>
    <w:rsid w:val="04207E21"/>
    <w:rsid w:val="04253689"/>
    <w:rsid w:val="0449381C"/>
    <w:rsid w:val="046E3E44"/>
    <w:rsid w:val="047A5783"/>
    <w:rsid w:val="047F6792"/>
    <w:rsid w:val="04B844FD"/>
    <w:rsid w:val="04C82992"/>
    <w:rsid w:val="04EE7346"/>
    <w:rsid w:val="04F05A45"/>
    <w:rsid w:val="05045387"/>
    <w:rsid w:val="05047743"/>
    <w:rsid w:val="05104E6D"/>
    <w:rsid w:val="05297E71"/>
    <w:rsid w:val="053346E9"/>
    <w:rsid w:val="05654685"/>
    <w:rsid w:val="056D178C"/>
    <w:rsid w:val="05764F65"/>
    <w:rsid w:val="05A01219"/>
    <w:rsid w:val="05A0746B"/>
    <w:rsid w:val="05BE5B43"/>
    <w:rsid w:val="05CD4D4D"/>
    <w:rsid w:val="05D11D1B"/>
    <w:rsid w:val="05ED76CD"/>
    <w:rsid w:val="05FE23E4"/>
    <w:rsid w:val="06253E14"/>
    <w:rsid w:val="06262FF6"/>
    <w:rsid w:val="06510766"/>
    <w:rsid w:val="065F13E0"/>
    <w:rsid w:val="06691CC8"/>
    <w:rsid w:val="068A111A"/>
    <w:rsid w:val="06A5554E"/>
    <w:rsid w:val="06DA09FA"/>
    <w:rsid w:val="06ED4932"/>
    <w:rsid w:val="06F2019A"/>
    <w:rsid w:val="071C6FC5"/>
    <w:rsid w:val="07267565"/>
    <w:rsid w:val="072E0AA7"/>
    <w:rsid w:val="07691ADF"/>
    <w:rsid w:val="078C18B4"/>
    <w:rsid w:val="07A20F5E"/>
    <w:rsid w:val="07A34FF1"/>
    <w:rsid w:val="07A50D69"/>
    <w:rsid w:val="07D93108"/>
    <w:rsid w:val="07DE071F"/>
    <w:rsid w:val="07DE427B"/>
    <w:rsid w:val="0810096B"/>
    <w:rsid w:val="083420ED"/>
    <w:rsid w:val="0834567D"/>
    <w:rsid w:val="085E5B1B"/>
    <w:rsid w:val="089963F4"/>
    <w:rsid w:val="08B975E0"/>
    <w:rsid w:val="08BE3521"/>
    <w:rsid w:val="09455F12"/>
    <w:rsid w:val="094A1A48"/>
    <w:rsid w:val="095C18FB"/>
    <w:rsid w:val="095C7B4D"/>
    <w:rsid w:val="095F7F4C"/>
    <w:rsid w:val="099263E7"/>
    <w:rsid w:val="09953E66"/>
    <w:rsid w:val="09A11A04"/>
    <w:rsid w:val="09A60123"/>
    <w:rsid w:val="09A668B6"/>
    <w:rsid w:val="09AE75F4"/>
    <w:rsid w:val="09AF1970"/>
    <w:rsid w:val="09B47989"/>
    <w:rsid w:val="09B95F2A"/>
    <w:rsid w:val="09D8091B"/>
    <w:rsid w:val="0A03621B"/>
    <w:rsid w:val="0A0C7574"/>
    <w:rsid w:val="0A0E549B"/>
    <w:rsid w:val="0A165F4E"/>
    <w:rsid w:val="0A1E12A6"/>
    <w:rsid w:val="0A402FCB"/>
    <w:rsid w:val="0A424E4D"/>
    <w:rsid w:val="0A6208DC"/>
    <w:rsid w:val="0A7E1D45"/>
    <w:rsid w:val="0A870BFA"/>
    <w:rsid w:val="0A917CCA"/>
    <w:rsid w:val="0A981059"/>
    <w:rsid w:val="0AB47D8E"/>
    <w:rsid w:val="0AF82AC1"/>
    <w:rsid w:val="0B097861"/>
    <w:rsid w:val="0B0B182B"/>
    <w:rsid w:val="0B1E734F"/>
    <w:rsid w:val="0B3B3792"/>
    <w:rsid w:val="0B66533A"/>
    <w:rsid w:val="0B6C7DF0"/>
    <w:rsid w:val="0B7218AA"/>
    <w:rsid w:val="0B7C44D7"/>
    <w:rsid w:val="0B84414D"/>
    <w:rsid w:val="0B964496"/>
    <w:rsid w:val="0BD46BAD"/>
    <w:rsid w:val="0BE120B2"/>
    <w:rsid w:val="0BFC73C5"/>
    <w:rsid w:val="0C0B585A"/>
    <w:rsid w:val="0C2A7A8F"/>
    <w:rsid w:val="0CA05FA3"/>
    <w:rsid w:val="0CA737D5"/>
    <w:rsid w:val="0CAA47CE"/>
    <w:rsid w:val="0CAD246E"/>
    <w:rsid w:val="0CDA7707"/>
    <w:rsid w:val="0CEC43CA"/>
    <w:rsid w:val="0CF402AE"/>
    <w:rsid w:val="0CF84031"/>
    <w:rsid w:val="0D244E26"/>
    <w:rsid w:val="0D4252AC"/>
    <w:rsid w:val="0D50431A"/>
    <w:rsid w:val="0D6921B0"/>
    <w:rsid w:val="0D7A5225"/>
    <w:rsid w:val="0D9C49BC"/>
    <w:rsid w:val="0DBE0DD6"/>
    <w:rsid w:val="0DD74F5A"/>
    <w:rsid w:val="0DF624E0"/>
    <w:rsid w:val="0E060087"/>
    <w:rsid w:val="0E166FCE"/>
    <w:rsid w:val="0E21417E"/>
    <w:rsid w:val="0E230C39"/>
    <w:rsid w:val="0E346850"/>
    <w:rsid w:val="0E3F3599"/>
    <w:rsid w:val="0E404088"/>
    <w:rsid w:val="0E43752E"/>
    <w:rsid w:val="0E572FD9"/>
    <w:rsid w:val="0EA113FA"/>
    <w:rsid w:val="0EAC50D3"/>
    <w:rsid w:val="0EC95C85"/>
    <w:rsid w:val="0ECA11CC"/>
    <w:rsid w:val="0EE028AD"/>
    <w:rsid w:val="0EE228A3"/>
    <w:rsid w:val="0F0019B5"/>
    <w:rsid w:val="0F1669F0"/>
    <w:rsid w:val="0F29227F"/>
    <w:rsid w:val="0F2E6E4B"/>
    <w:rsid w:val="0F390E8E"/>
    <w:rsid w:val="0F5A5BA1"/>
    <w:rsid w:val="0F5F4446"/>
    <w:rsid w:val="0F6C6610"/>
    <w:rsid w:val="0F713C26"/>
    <w:rsid w:val="0F76123D"/>
    <w:rsid w:val="0F8F57EF"/>
    <w:rsid w:val="0FC91CB4"/>
    <w:rsid w:val="0FF30ADF"/>
    <w:rsid w:val="0FF53FED"/>
    <w:rsid w:val="0FF97625"/>
    <w:rsid w:val="0FFA6300"/>
    <w:rsid w:val="10044E18"/>
    <w:rsid w:val="10150A56"/>
    <w:rsid w:val="1018304A"/>
    <w:rsid w:val="104B4477"/>
    <w:rsid w:val="105C0433"/>
    <w:rsid w:val="106D0892"/>
    <w:rsid w:val="10722611"/>
    <w:rsid w:val="10771710"/>
    <w:rsid w:val="10B464C1"/>
    <w:rsid w:val="110475FD"/>
    <w:rsid w:val="11200448"/>
    <w:rsid w:val="1122167C"/>
    <w:rsid w:val="113969C6"/>
    <w:rsid w:val="113A4C18"/>
    <w:rsid w:val="11692E07"/>
    <w:rsid w:val="116E2B13"/>
    <w:rsid w:val="1173012A"/>
    <w:rsid w:val="117D4B05"/>
    <w:rsid w:val="119066D9"/>
    <w:rsid w:val="11A335B5"/>
    <w:rsid w:val="11A93B4C"/>
    <w:rsid w:val="11AE35E8"/>
    <w:rsid w:val="11B83D8F"/>
    <w:rsid w:val="11BC387F"/>
    <w:rsid w:val="11D566EF"/>
    <w:rsid w:val="11DD1222"/>
    <w:rsid w:val="11E3705D"/>
    <w:rsid w:val="11E42DD6"/>
    <w:rsid w:val="11FD79F3"/>
    <w:rsid w:val="1219428E"/>
    <w:rsid w:val="12445622"/>
    <w:rsid w:val="12527D3F"/>
    <w:rsid w:val="12655CC4"/>
    <w:rsid w:val="1303465D"/>
    <w:rsid w:val="1333427F"/>
    <w:rsid w:val="13490C7D"/>
    <w:rsid w:val="135C3D02"/>
    <w:rsid w:val="13692093"/>
    <w:rsid w:val="13B3480E"/>
    <w:rsid w:val="13C46A1B"/>
    <w:rsid w:val="13D1738A"/>
    <w:rsid w:val="141259D8"/>
    <w:rsid w:val="14327E28"/>
    <w:rsid w:val="14504752"/>
    <w:rsid w:val="145C4EA5"/>
    <w:rsid w:val="145D29CB"/>
    <w:rsid w:val="14A20E87"/>
    <w:rsid w:val="14A423A8"/>
    <w:rsid w:val="14D507B4"/>
    <w:rsid w:val="14E27C21"/>
    <w:rsid w:val="15003A82"/>
    <w:rsid w:val="151770AE"/>
    <w:rsid w:val="153B2049"/>
    <w:rsid w:val="15614DA8"/>
    <w:rsid w:val="15804BC3"/>
    <w:rsid w:val="15A24B3A"/>
    <w:rsid w:val="15A85EC8"/>
    <w:rsid w:val="15AD0685"/>
    <w:rsid w:val="15AD79BC"/>
    <w:rsid w:val="15B71DCB"/>
    <w:rsid w:val="15DB004C"/>
    <w:rsid w:val="15F555B1"/>
    <w:rsid w:val="16066864"/>
    <w:rsid w:val="16094BB9"/>
    <w:rsid w:val="163D0A87"/>
    <w:rsid w:val="16587339"/>
    <w:rsid w:val="166C6F88"/>
    <w:rsid w:val="168626AD"/>
    <w:rsid w:val="16900E36"/>
    <w:rsid w:val="16991EF7"/>
    <w:rsid w:val="169A3A63"/>
    <w:rsid w:val="16B576DD"/>
    <w:rsid w:val="16B9038D"/>
    <w:rsid w:val="16DB5DB1"/>
    <w:rsid w:val="16DC2716"/>
    <w:rsid w:val="16E318AE"/>
    <w:rsid w:val="16FB6BF7"/>
    <w:rsid w:val="16FD761E"/>
    <w:rsid w:val="170F0CFF"/>
    <w:rsid w:val="172872C1"/>
    <w:rsid w:val="173850A7"/>
    <w:rsid w:val="17417890"/>
    <w:rsid w:val="174C0AC9"/>
    <w:rsid w:val="17513FBF"/>
    <w:rsid w:val="177B4CDC"/>
    <w:rsid w:val="178C7B60"/>
    <w:rsid w:val="17946704"/>
    <w:rsid w:val="17A54DB5"/>
    <w:rsid w:val="17B52CFE"/>
    <w:rsid w:val="17BA7FA6"/>
    <w:rsid w:val="1811244B"/>
    <w:rsid w:val="183A374F"/>
    <w:rsid w:val="18616F2E"/>
    <w:rsid w:val="187F4254"/>
    <w:rsid w:val="18AD2173"/>
    <w:rsid w:val="18C878F2"/>
    <w:rsid w:val="18C9062F"/>
    <w:rsid w:val="18D019BE"/>
    <w:rsid w:val="18FB18A3"/>
    <w:rsid w:val="19056462"/>
    <w:rsid w:val="191C0440"/>
    <w:rsid w:val="192B2CC7"/>
    <w:rsid w:val="192B4E46"/>
    <w:rsid w:val="193006AE"/>
    <w:rsid w:val="197B401F"/>
    <w:rsid w:val="197D3E49"/>
    <w:rsid w:val="198B1495"/>
    <w:rsid w:val="19946E8F"/>
    <w:rsid w:val="19B33992"/>
    <w:rsid w:val="19BE3F0C"/>
    <w:rsid w:val="19D02A0B"/>
    <w:rsid w:val="1A0725B2"/>
    <w:rsid w:val="1A0933D9"/>
    <w:rsid w:val="1A630ED2"/>
    <w:rsid w:val="1A6C248D"/>
    <w:rsid w:val="1AA2738A"/>
    <w:rsid w:val="1ABD5F72"/>
    <w:rsid w:val="1AD23FC4"/>
    <w:rsid w:val="1AE747FC"/>
    <w:rsid w:val="1AEE25CF"/>
    <w:rsid w:val="1AF45622"/>
    <w:rsid w:val="1B081624"/>
    <w:rsid w:val="1B0E67CD"/>
    <w:rsid w:val="1B2F50C2"/>
    <w:rsid w:val="1B3C333B"/>
    <w:rsid w:val="1B4641B9"/>
    <w:rsid w:val="1B5A7D5C"/>
    <w:rsid w:val="1B7B0307"/>
    <w:rsid w:val="1B7B26E1"/>
    <w:rsid w:val="1B8A33D7"/>
    <w:rsid w:val="1B9F38C9"/>
    <w:rsid w:val="1B9F5731"/>
    <w:rsid w:val="1BC25F36"/>
    <w:rsid w:val="1BC81072"/>
    <w:rsid w:val="1BCB46BE"/>
    <w:rsid w:val="1BD712B5"/>
    <w:rsid w:val="1C0A116C"/>
    <w:rsid w:val="1C1A0C17"/>
    <w:rsid w:val="1C32741A"/>
    <w:rsid w:val="1C405AE5"/>
    <w:rsid w:val="1C4C1CA3"/>
    <w:rsid w:val="1C577EAD"/>
    <w:rsid w:val="1C84143D"/>
    <w:rsid w:val="1C896A53"/>
    <w:rsid w:val="1CC63804"/>
    <w:rsid w:val="1CD6156D"/>
    <w:rsid w:val="1CEB5018"/>
    <w:rsid w:val="1CF33ECD"/>
    <w:rsid w:val="1D022362"/>
    <w:rsid w:val="1D0C75F3"/>
    <w:rsid w:val="1D1E3640"/>
    <w:rsid w:val="1D3249F5"/>
    <w:rsid w:val="1D44297A"/>
    <w:rsid w:val="1D4A7C0F"/>
    <w:rsid w:val="1D4B790E"/>
    <w:rsid w:val="1D546EAF"/>
    <w:rsid w:val="1D5A4550"/>
    <w:rsid w:val="1D960483"/>
    <w:rsid w:val="1D9F10CE"/>
    <w:rsid w:val="1DC817B3"/>
    <w:rsid w:val="1DDC7057"/>
    <w:rsid w:val="1DF15284"/>
    <w:rsid w:val="1E071163"/>
    <w:rsid w:val="1E087E4C"/>
    <w:rsid w:val="1E0A2DCB"/>
    <w:rsid w:val="1E18008F"/>
    <w:rsid w:val="1E5F77E6"/>
    <w:rsid w:val="1E7159F1"/>
    <w:rsid w:val="1E8B7358"/>
    <w:rsid w:val="1E9B0CC0"/>
    <w:rsid w:val="1EB51D82"/>
    <w:rsid w:val="1ECE699F"/>
    <w:rsid w:val="1F06438B"/>
    <w:rsid w:val="1F147C52"/>
    <w:rsid w:val="1F171CFB"/>
    <w:rsid w:val="1F1A3993"/>
    <w:rsid w:val="1F2111C5"/>
    <w:rsid w:val="1F3C13B6"/>
    <w:rsid w:val="1F3E1D77"/>
    <w:rsid w:val="1F4B49D6"/>
    <w:rsid w:val="1F5E3D4C"/>
    <w:rsid w:val="1F5E41C7"/>
    <w:rsid w:val="1F906B9D"/>
    <w:rsid w:val="1FA140B4"/>
    <w:rsid w:val="1FBF453A"/>
    <w:rsid w:val="1FC63B1B"/>
    <w:rsid w:val="1FCB070D"/>
    <w:rsid w:val="1FE16BA6"/>
    <w:rsid w:val="1FF85069"/>
    <w:rsid w:val="20111A47"/>
    <w:rsid w:val="20231088"/>
    <w:rsid w:val="202738BE"/>
    <w:rsid w:val="2042758F"/>
    <w:rsid w:val="204F0CF4"/>
    <w:rsid w:val="20692E24"/>
    <w:rsid w:val="207F2647"/>
    <w:rsid w:val="20A43E5C"/>
    <w:rsid w:val="20C31E08"/>
    <w:rsid w:val="20D51E07"/>
    <w:rsid w:val="20D61B3B"/>
    <w:rsid w:val="20DD55C0"/>
    <w:rsid w:val="20E916A5"/>
    <w:rsid w:val="20F41885"/>
    <w:rsid w:val="21154D5A"/>
    <w:rsid w:val="212136FE"/>
    <w:rsid w:val="214032A2"/>
    <w:rsid w:val="216229DC"/>
    <w:rsid w:val="2163607F"/>
    <w:rsid w:val="21771570"/>
    <w:rsid w:val="21903FEF"/>
    <w:rsid w:val="21993B18"/>
    <w:rsid w:val="21D04BA8"/>
    <w:rsid w:val="21FE57EE"/>
    <w:rsid w:val="22394A78"/>
    <w:rsid w:val="22464B8D"/>
    <w:rsid w:val="22791318"/>
    <w:rsid w:val="229A201B"/>
    <w:rsid w:val="22C500B9"/>
    <w:rsid w:val="22D4654E"/>
    <w:rsid w:val="22EA5D72"/>
    <w:rsid w:val="22F015DA"/>
    <w:rsid w:val="23005725"/>
    <w:rsid w:val="23225A5C"/>
    <w:rsid w:val="232529EA"/>
    <w:rsid w:val="233F60BE"/>
    <w:rsid w:val="23403BE4"/>
    <w:rsid w:val="237E6452"/>
    <w:rsid w:val="23952182"/>
    <w:rsid w:val="239974D6"/>
    <w:rsid w:val="23A45007"/>
    <w:rsid w:val="23BD5235"/>
    <w:rsid w:val="23D74548"/>
    <w:rsid w:val="23E266D0"/>
    <w:rsid w:val="23E4618A"/>
    <w:rsid w:val="243676A7"/>
    <w:rsid w:val="244B45EE"/>
    <w:rsid w:val="244E3D8C"/>
    <w:rsid w:val="245931AF"/>
    <w:rsid w:val="248F097F"/>
    <w:rsid w:val="24B30B11"/>
    <w:rsid w:val="24B335CE"/>
    <w:rsid w:val="24BB79C6"/>
    <w:rsid w:val="24CB64A7"/>
    <w:rsid w:val="24EE7D9B"/>
    <w:rsid w:val="24F009A8"/>
    <w:rsid w:val="25054AFA"/>
    <w:rsid w:val="250F386E"/>
    <w:rsid w:val="2527082D"/>
    <w:rsid w:val="25513E86"/>
    <w:rsid w:val="256516E0"/>
    <w:rsid w:val="25697422"/>
    <w:rsid w:val="258C4EBE"/>
    <w:rsid w:val="259D0E7A"/>
    <w:rsid w:val="25E62821"/>
    <w:rsid w:val="25EC0D13"/>
    <w:rsid w:val="25EF0E4B"/>
    <w:rsid w:val="2604539D"/>
    <w:rsid w:val="260A59DD"/>
    <w:rsid w:val="2610789E"/>
    <w:rsid w:val="26123616"/>
    <w:rsid w:val="26246FD7"/>
    <w:rsid w:val="263B7010"/>
    <w:rsid w:val="265255B2"/>
    <w:rsid w:val="26661BB3"/>
    <w:rsid w:val="2674607E"/>
    <w:rsid w:val="267C3185"/>
    <w:rsid w:val="267F67D1"/>
    <w:rsid w:val="269B185D"/>
    <w:rsid w:val="269C26E3"/>
    <w:rsid w:val="26A5092E"/>
    <w:rsid w:val="26C802A5"/>
    <w:rsid w:val="26DB60FD"/>
    <w:rsid w:val="26F97002"/>
    <w:rsid w:val="270D6E87"/>
    <w:rsid w:val="27181100"/>
    <w:rsid w:val="27207FB4"/>
    <w:rsid w:val="272E2D63"/>
    <w:rsid w:val="27410CB9"/>
    <w:rsid w:val="27455C6D"/>
    <w:rsid w:val="2758774E"/>
    <w:rsid w:val="27637EA1"/>
    <w:rsid w:val="276D441A"/>
    <w:rsid w:val="27983FEE"/>
    <w:rsid w:val="27A82732"/>
    <w:rsid w:val="27AE310E"/>
    <w:rsid w:val="27B33C90"/>
    <w:rsid w:val="27DC76B2"/>
    <w:rsid w:val="27F96B48"/>
    <w:rsid w:val="28100029"/>
    <w:rsid w:val="28153891"/>
    <w:rsid w:val="28212236"/>
    <w:rsid w:val="2829733C"/>
    <w:rsid w:val="28465AFF"/>
    <w:rsid w:val="284F6DA3"/>
    <w:rsid w:val="2852149F"/>
    <w:rsid w:val="28550131"/>
    <w:rsid w:val="2861396F"/>
    <w:rsid w:val="28A569C3"/>
    <w:rsid w:val="28AF6A0B"/>
    <w:rsid w:val="28B44010"/>
    <w:rsid w:val="29044E0B"/>
    <w:rsid w:val="290851A4"/>
    <w:rsid w:val="29384EA8"/>
    <w:rsid w:val="295039A3"/>
    <w:rsid w:val="296049A7"/>
    <w:rsid w:val="29B6075C"/>
    <w:rsid w:val="29E26463"/>
    <w:rsid w:val="2A036C30"/>
    <w:rsid w:val="2A07065D"/>
    <w:rsid w:val="2A0A08C3"/>
    <w:rsid w:val="2A3111C7"/>
    <w:rsid w:val="2A5236F9"/>
    <w:rsid w:val="2A534564"/>
    <w:rsid w:val="2A573A70"/>
    <w:rsid w:val="2A612DBE"/>
    <w:rsid w:val="2A622692"/>
    <w:rsid w:val="2AAA6513"/>
    <w:rsid w:val="2ACA2711"/>
    <w:rsid w:val="2AD43590"/>
    <w:rsid w:val="2B0076C5"/>
    <w:rsid w:val="2B046C38"/>
    <w:rsid w:val="2B1A1315"/>
    <w:rsid w:val="2B2142FB"/>
    <w:rsid w:val="2B404B09"/>
    <w:rsid w:val="2B4D18B6"/>
    <w:rsid w:val="2B674404"/>
    <w:rsid w:val="2B6E533B"/>
    <w:rsid w:val="2B801021"/>
    <w:rsid w:val="2B9845BD"/>
    <w:rsid w:val="2B9B40AD"/>
    <w:rsid w:val="2BCD2B10"/>
    <w:rsid w:val="2BD1187D"/>
    <w:rsid w:val="2BEA0B91"/>
    <w:rsid w:val="2BFA6100"/>
    <w:rsid w:val="2BFA65A3"/>
    <w:rsid w:val="2C101F53"/>
    <w:rsid w:val="2C22657D"/>
    <w:rsid w:val="2C271DE5"/>
    <w:rsid w:val="2C2B3683"/>
    <w:rsid w:val="2C3D33B6"/>
    <w:rsid w:val="2C4A5124"/>
    <w:rsid w:val="2C5A7AC4"/>
    <w:rsid w:val="2C602C01"/>
    <w:rsid w:val="2C695F59"/>
    <w:rsid w:val="2C730B86"/>
    <w:rsid w:val="2CBD48CE"/>
    <w:rsid w:val="2CC969F8"/>
    <w:rsid w:val="2CE211B2"/>
    <w:rsid w:val="2CFF066C"/>
    <w:rsid w:val="2D0C5757"/>
    <w:rsid w:val="2D2C6829"/>
    <w:rsid w:val="2D320A41"/>
    <w:rsid w:val="2D3E19BA"/>
    <w:rsid w:val="2D406CBA"/>
    <w:rsid w:val="2D420D7D"/>
    <w:rsid w:val="2D485B6F"/>
    <w:rsid w:val="2D5B7F98"/>
    <w:rsid w:val="2D6055AE"/>
    <w:rsid w:val="2D941213"/>
    <w:rsid w:val="2D9D7593"/>
    <w:rsid w:val="2D9E1C33"/>
    <w:rsid w:val="2DB256DE"/>
    <w:rsid w:val="2E015B36"/>
    <w:rsid w:val="2E275F81"/>
    <w:rsid w:val="2E28730F"/>
    <w:rsid w:val="2E3D58F0"/>
    <w:rsid w:val="2E4E51C2"/>
    <w:rsid w:val="2E520EAC"/>
    <w:rsid w:val="2E644C2A"/>
    <w:rsid w:val="2E692241"/>
    <w:rsid w:val="2E77681E"/>
    <w:rsid w:val="2E823302"/>
    <w:rsid w:val="2EB45BB2"/>
    <w:rsid w:val="2EBF4557"/>
    <w:rsid w:val="2EF638CE"/>
    <w:rsid w:val="2F176141"/>
    <w:rsid w:val="2F3A598B"/>
    <w:rsid w:val="2F3C2E7D"/>
    <w:rsid w:val="2F4862FA"/>
    <w:rsid w:val="2F4B2B19"/>
    <w:rsid w:val="2F6246CC"/>
    <w:rsid w:val="2F8337D6"/>
    <w:rsid w:val="2F860BD0"/>
    <w:rsid w:val="2F984894"/>
    <w:rsid w:val="2F990904"/>
    <w:rsid w:val="2F9F5447"/>
    <w:rsid w:val="2FB219C5"/>
    <w:rsid w:val="2FC53683"/>
    <w:rsid w:val="2FE34275"/>
    <w:rsid w:val="2FE97A5F"/>
    <w:rsid w:val="2FF124EE"/>
    <w:rsid w:val="2FFE4B1D"/>
    <w:rsid w:val="300B44EE"/>
    <w:rsid w:val="3049232A"/>
    <w:rsid w:val="305A47DE"/>
    <w:rsid w:val="30626A70"/>
    <w:rsid w:val="30671D75"/>
    <w:rsid w:val="30751371"/>
    <w:rsid w:val="309E348C"/>
    <w:rsid w:val="30BC6FA0"/>
    <w:rsid w:val="30CB35CF"/>
    <w:rsid w:val="30F82156"/>
    <w:rsid w:val="31010E56"/>
    <w:rsid w:val="3112096E"/>
    <w:rsid w:val="311C17EC"/>
    <w:rsid w:val="312A5E46"/>
    <w:rsid w:val="31394322"/>
    <w:rsid w:val="31464ABB"/>
    <w:rsid w:val="31554CFE"/>
    <w:rsid w:val="3163566D"/>
    <w:rsid w:val="3184082E"/>
    <w:rsid w:val="319720BE"/>
    <w:rsid w:val="31A31BD8"/>
    <w:rsid w:val="31C37EBA"/>
    <w:rsid w:val="31CA749A"/>
    <w:rsid w:val="31CD44B6"/>
    <w:rsid w:val="31DE6AA2"/>
    <w:rsid w:val="31ED3189"/>
    <w:rsid w:val="321A2B4A"/>
    <w:rsid w:val="32214672"/>
    <w:rsid w:val="32285F6F"/>
    <w:rsid w:val="322E5C7B"/>
    <w:rsid w:val="32574854"/>
    <w:rsid w:val="32583B43"/>
    <w:rsid w:val="32617B06"/>
    <w:rsid w:val="32747406"/>
    <w:rsid w:val="328304A8"/>
    <w:rsid w:val="32967589"/>
    <w:rsid w:val="32AC3044"/>
    <w:rsid w:val="32B11C3C"/>
    <w:rsid w:val="32BC5F4D"/>
    <w:rsid w:val="32FA3DAF"/>
    <w:rsid w:val="33030EB6"/>
    <w:rsid w:val="33154A22"/>
    <w:rsid w:val="331A7FAD"/>
    <w:rsid w:val="33260700"/>
    <w:rsid w:val="33296443"/>
    <w:rsid w:val="333625CB"/>
    <w:rsid w:val="33573387"/>
    <w:rsid w:val="336E3E55"/>
    <w:rsid w:val="337551E4"/>
    <w:rsid w:val="33A61841"/>
    <w:rsid w:val="33CD35DD"/>
    <w:rsid w:val="33D62126"/>
    <w:rsid w:val="33F7209D"/>
    <w:rsid w:val="33FE364D"/>
    <w:rsid w:val="3411315F"/>
    <w:rsid w:val="3429115A"/>
    <w:rsid w:val="343A7D68"/>
    <w:rsid w:val="344A041F"/>
    <w:rsid w:val="344D7F0F"/>
    <w:rsid w:val="345B6AD0"/>
    <w:rsid w:val="349A75F8"/>
    <w:rsid w:val="34A83397"/>
    <w:rsid w:val="34E07317"/>
    <w:rsid w:val="34E24AFB"/>
    <w:rsid w:val="34EC7728"/>
    <w:rsid w:val="34F2580B"/>
    <w:rsid w:val="350902DA"/>
    <w:rsid w:val="35431A3E"/>
    <w:rsid w:val="354A5F40"/>
    <w:rsid w:val="35505F08"/>
    <w:rsid w:val="355F7EFA"/>
    <w:rsid w:val="35640B8C"/>
    <w:rsid w:val="357065AB"/>
    <w:rsid w:val="35803C3D"/>
    <w:rsid w:val="35812566"/>
    <w:rsid w:val="35B41FFD"/>
    <w:rsid w:val="35C80195"/>
    <w:rsid w:val="35D02BA5"/>
    <w:rsid w:val="35DC59EE"/>
    <w:rsid w:val="35E30B2B"/>
    <w:rsid w:val="35ED3757"/>
    <w:rsid w:val="35F42A51"/>
    <w:rsid w:val="35F44AE6"/>
    <w:rsid w:val="35FFEC5E"/>
    <w:rsid w:val="36024564"/>
    <w:rsid w:val="361F260A"/>
    <w:rsid w:val="36276335"/>
    <w:rsid w:val="366652D6"/>
    <w:rsid w:val="36730100"/>
    <w:rsid w:val="36981915"/>
    <w:rsid w:val="36981B5D"/>
    <w:rsid w:val="36A302BA"/>
    <w:rsid w:val="36A9634B"/>
    <w:rsid w:val="36AA5AEC"/>
    <w:rsid w:val="36D079C8"/>
    <w:rsid w:val="36E0150E"/>
    <w:rsid w:val="36E96615"/>
    <w:rsid w:val="36EB7CE0"/>
    <w:rsid w:val="371A4A20"/>
    <w:rsid w:val="37285326"/>
    <w:rsid w:val="372907BF"/>
    <w:rsid w:val="372C4753"/>
    <w:rsid w:val="373B04F2"/>
    <w:rsid w:val="37476E97"/>
    <w:rsid w:val="37620175"/>
    <w:rsid w:val="376C68FE"/>
    <w:rsid w:val="37794553"/>
    <w:rsid w:val="377D1279"/>
    <w:rsid w:val="377D6D5D"/>
    <w:rsid w:val="37CE1367"/>
    <w:rsid w:val="37D716E7"/>
    <w:rsid w:val="383218F5"/>
    <w:rsid w:val="385A322E"/>
    <w:rsid w:val="38613F89"/>
    <w:rsid w:val="38631B53"/>
    <w:rsid w:val="386D5472"/>
    <w:rsid w:val="38AD4C0A"/>
    <w:rsid w:val="38B642D4"/>
    <w:rsid w:val="38C904AC"/>
    <w:rsid w:val="38EE7F12"/>
    <w:rsid w:val="390327BB"/>
    <w:rsid w:val="39094D4C"/>
    <w:rsid w:val="391B4A7F"/>
    <w:rsid w:val="39241B86"/>
    <w:rsid w:val="393022D9"/>
    <w:rsid w:val="394E33E8"/>
    <w:rsid w:val="395835DE"/>
    <w:rsid w:val="3958538C"/>
    <w:rsid w:val="396C6CF4"/>
    <w:rsid w:val="398E6F62"/>
    <w:rsid w:val="39986066"/>
    <w:rsid w:val="39B76556"/>
    <w:rsid w:val="3A00614F"/>
    <w:rsid w:val="3A127C30"/>
    <w:rsid w:val="3A1E65D5"/>
    <w:rsid w:val="3A290002"/>
    <w:rsid w:val="3A2E128F"/>
    <w:rsid w:val="3A371445"/>
    <w:rsid w:val="3A3F02FA"/>
    <w:rsid w:val="3A8F3EBA"/>
    <w:rsid w:val="3A8F74D3"/>
    <w:rsid w:val="3A95616C"/>
    <w:rsid w:val="3AAD79FE"/>
    <w:rsid w:val="3AB10259"/>
    <w:rsid w:val="3ABA6222"/>
    <w:rsid w:val="3AD60C5E"/>
    <w:rsid w:val="3AD674BD"/>
    <w:rsid w:val="3B0A4DAB"/>
    <w:rsid w:val="3B1A3241"/>
    <w:rsid w:val="3B1B510F"/>
    <w:rsid w:val="3B301F44"/>
    <w:rsid w:val="3B365BA1"/>
    <w:rsid w:val="3B3716DA"/>
    <w:rsid w:val="3B5016BB"/>
    <w:rsid w:val="3B5C7B0E"/>
    <w:rsid w:val="3B6E70E8"/>
    <w:rsid w:val="3B9373E6"/>
    <w:rsid w:val="3B9F54F4"/>
    <w:rsid w:val="3BAE4829"/>
    <w:rsid w:val="3BC35686"/>
    <w:rsid w:val="3BDD7DCA"/>
    <w:rsid w:val="3BDF73C5"/>
    <w:rsid w:val="3BE649C6"/>
    <w:rsid w:val="3BF11E34"/>
    <w:rsid w:val="3C05453A"/>
    <w:rsid w:val="3C0B20DB"/>
    <w:rsid w:val="3C34130B"/>
    <w:rsid w:val="3C37572C"/>
    <w:rsid w:val="3C4C39CC"/>
    <w:rsid w:val="3C76318A"/>
    <w:rsid w:val="3CDF4359"/>
    <w:rsid w:val="3CE77152"/>
    <w:rsid w:val="3D1309AC"/>
    <w:rsid w:val="3D136199"/>
    <w:rsid w:val="3D31661F"/>
    <w:rsid w:val="3D743CDB"/>
    <w:rsid w:val="3D8B1073"/>
    <w:rsid w:val="3D902D22"/>
    <w:rsid w:val="3DB57251"/>
    <w:rsid w:val="3DCB0822"/>
    <w:rsid w:val="3DDC2358"/>
    <w:rsid w:val="3DEB7EC4"/>
    <w:rsid w:val="3DF4021A"/>
    <w:rsid w:val="3E047963"/>
    <w:rsid w:val="3E155C7B"/>
    <w:rsid w:val="3E1F291C"/>
    <w:rsid w:val="3E265789"/>
    <w:rsid w:val="3E4031C1"/>
    <w:rsid w:val="3E6F3FCC"/>
    <w:rsid w:val="3E8E5BBA"/>
    <w:rsid w:val="3EBC79A5"/>
    <w:rsid w:val="3ECA0ADA"/>
    <w:rsid w:val="3EDC10FF"/>
    <w:rsid w:val="3EE33949"/>
    <w:rsid w:val="3F0A5E23"/>
    <w:rsid w:val="3F0B4C4E"/>
    <w:rsid w:val="3F3F2FD1"/>
    <w:rsid w:val="3F520FBF"/>
    <w:rsid w:val="3F632CDC"/>
    <w:rsid w:val="3F917849"/>
    <w:rsid w:val="3F9803DD"/>
    <w:rsid w:val="3F9B5FD2"/>
    <w:rsid w:val="3FC67D94"/>
    <w:rsid w:val="3FE57395"/>
    <w:rsid w:val="3FF37BBC"/>
    <w:rsid w:val="402E1B38"/>
    <w:rsid w:val="40384169"/>
    <w:rsid w:val="403B1563"/>
    <w:rsid w:val="403C77B5"/>
    <w:rsid w:val="405A4873"/>
    <w:rsid w:val="406022E2"/>
    <w:rsid w:val="406B6ADA"/>
    <w:rsid w:val="407B3EBF"/>
    <w:rsid w:val="408B24EB"/>
    <w:rsid w:val="40B530C4"/>
    <w:rsid w:val="40DF693D"/>
    <w:rsid w:val="40E83F11"/>
    <w:rsid w:val="40F16A8E"/>
    <w:rsid w:val="40F96D91"/>
    <w:rsid w:val="41016309"/>
    <w:rsid w:val="411C5418"/>
    <w:rsid w:val="41230975"/>
    <w:rsid w:val="412545BE"/>
    <w:rsid w:val="41635215"/>
    <w:rsid w:val="4184340D"/>
    <w:rsid w:val="41A5138A"/>
    <w:rsid w:val="41BD0482"/>
    <w:rsid w:val="41E21275"/>
    <w:rsid w:val="41F84012"/>
    <w:rsid w:val="41FA16D6"/>
    <w:rsid w:val="420662CD"/>
    <w:rsid w:val="42426BD9"/>
    <w:rsid w:val="42641245"/>
    <w:rsid w:val="426C1EA8"/>
    <w:rsid w:val="42B17F68"/>
    <w:rsid w:val="42DC702D"/>
    <w:rsid w:val="42F56341"/>
    <w:rsid w:val="42F6152E"/>
    <w:rsid w:val="42FF6CFF"/>
    <w:rsid w:val="43010842"/>
    <w:rsid w:val="43075E6E"/>
    <w:rsid w:val="431E7646"/>
    <w:rsid w:val="434150E2"/>
    <w:rsid w:val="435A7F52"/>
    <w:rsid w:val="43771108"/>
    <w:rsid w:val="43813731"/>
    <w:rsid w:val="438C4E1A"/>
    <w:rsid w:val="43947908"/>
    <w:rsid w:val="43CC2BFE"/>
    <w:rsid w:val="43D61CCF"/>
    <w:rsid w:val="43DD4E0B"/>
    <w:rsid w:val="43EA39CC"/>
    <w:rsid w:val="43F42155"/>
    <w:rsid w:val="43FE1FA4"/>
    <w:rsid w:val="44174028"/>
    <w:rsid w:val="442F052B"/>
    <w:rsid w:val="4441183E"/>
    <w:rsid w:val="445E0F15"/>
    <w:rsid w:val="446523D2"/>
    <w:rsid w:val="44765180"/>
    <w:rsid w:val="44AD0C81"/>
    <w:rsid w:val="44B26298"/>
    <w:rsid w:val="44BB500C"/>
    <w:rsid w:val="44C22253"/>
    <w:rsid w:val="44D37FBC"/>
    <w:rsid w:val="44D464BC"/>
    <w:rsid w:val="44DA0696"/>
    <w:rsid w:val="44E45943"/>
    <w:rsid w:val="45603F46"/>
    <w:rsid w:val="45684BA8"/>
    <w:rsid w:val="456D21BF"/>
    <w:rsid w:val="457C3C37"/>
    <w:rsid w:val="4583380E"/>
    <w:rsid w:val="45886FF9"/>
    <w:rsid w:val="45993146"/>
    <w:rsid w:val="45AF0A29"/>
    <w:rsid w:val="45CE6FAD"/>
    <w:rsid w:val="45D16BF2"/>
    <w:rsid w:val="45EB3538"/>
    <w:rsid w:val="45F66658"/>
    <w:rsid w:val="45FB3C6E"/>
    <w:rsid w:val="461B60BF"/>
    <w:rsid w:val="46440499"/>
    <w:rsid w:val="46771AC0"/>
    <w:rsid w:val="468434EB"/>
    <w:rsid w:val="4689732A"/>
    <w:rsid w:val="46B53E1D"/>
    <w:rsid w:val="46B95F15"/>
    <w:rsid w:val="46D71FE6"/>
    <w:rsid w:val="47013507"/>
    <w:rsid w:val="47060B1D"/>
    <w:rsid w:val="471A45C8"/>
    <w:rsid w:val="47215957"/>
    <w:rsid w:val="47347438"/>
    <w:rsid w:val="47811F51"/>
    <w:rsid w:val="47867C8A"/>
    <w:rsid w:val="479B001B"/>
    <w:rsid w:val="47D21CE6"/>
    <w:rsid w:val="47EF7803"/>
    <w:rsid w:val="48457423"/>
    <w:rsid w:val="484F2050"/>
    <w:rsid w:val="486274F2"/>
    <w:rsid w:val="48860EEC"/>
    <w:rsid w:val="48876507"/>
    <w:rsid w:val="488F0DE5"/>
    <w:rsid w:val="48A14890"/>
    <w:rsid w:val="48BD0CBA"/>
    <w:rsid w:val="48C365E2"/>
    <w:rsid w:val="49066BB2"/>
    <w:rsid w:val="491D214E"/>
    <w:rsid w:val="491E2FB8"/>
    <w:rsid w:val="494616A5"/>
    <w:rsid w:val="4948541D"/>
    <w:rsid w:val="4970227E"/>
    <w:rsid w:val="49852229"/>
    <w:rsid w:val="49AD5280"/>
    <w:rsid w:val="49DF11B1"/>
    <w:rsid w:val="4A056E6A"/>
    <w:rsid w:val="4A123335"/>
    <w:rsid w:val="4A1946C3"/>
    <w:rsid w:val="4A227A1C"/>
    <w:rsid w:val="4A301A0D"/>
    <w:rsid w:val="4A4C0CEF"/>
    <w:rsid w:val="4A67403B"/>
    <w:rsid w:val="4A7144FF"/>
    <w:rsid w:val="4A734E79"/>
    <w:rsid w:val="4A761B16"/>
    <w:rsid w:val="4A7C087B"/>
    <w:rsid w:val="4AA303D3"/>
    <w:rsid w:val="4AD27698"/>
    <w:rsid w:val="4B15783A"/>
    <w:rsid w:val="4B1B114F"/>
    <w:rsid w:val="4B250368"/>
    <w:rsid w:val="4B252975"/>
    <w:rsid w:val="4B294DDA"/>
    <w:rsid w:val="4B5300A9"/>
    <w:rsid w:val="4B6202EC"/>
    <w:rsid w:val="4B7F6C9B"/>
    <w:rsid w:val="4B857DCA"/>
    <w:rsid w:val="4B895879"/>
    <w:rsid w:val="4BB01238"/>
    <w:rsid w:val="4BB5666E"/>
    <w:rsid w:val="4C023F8C"/>
    <w:rsid w:val="4C2F1AF1"/>
    <w:rsid w:val="4C3752D5"/>
    <w:rsid w:val="4C3A2790"/>
    <w:rsid w:val="4C3F1A69"/>
    <w:rsid w:val="4C404189"/>
    <w:rsid w:val="4C4C5224"/>
    <w:rsid w:val="4C4C7D4D"/>
    <w:rsid w:val="4C5C2F8D"/>
    <w:rsid w:val="4C5E0AB3"/>
    <w:rsid w:val="4C692E82"/>
    <w:rsid w:val="4C716A38"/>
    <w:rsid w:val="4C7958ED"/>
    <w:rsid w:val="4C9B795E"/>
    <w:rsid w:val="4C9D782D"/>
    <w:rsid w:val="4CA216B0"/>
    <w:rsid w:val="4CA7336B"/>
    <w:rsid w:val="4CAC181F"/>
    <w:rsid w:val="4CB608EF"/>
    <w:rsid w:val="4CBD7ED0"/>
    <w:rsid w:val="4CD64AED"/>
    <w:rsid w:val="4CE33E5F"/>
    <w:rsid w:val="4D001539"/>
    <w:rsid w:val="4D060FF1"/>
    <w:rsid w:val="4D24685D"/>
    <w:rsid w:val="4D275349"/>
    <w:rsid w:val="4D5E2066"/>
    <w:rsid w:val="4D714797"/>
    <w:rsid w:val="4D79A974"/>
    <w:rsid w:val="4D896004"/>
    <w:rsid w:val="4D9F0EEA"/>
    <w:rsid w:val="4DA60964"/>
    <w:rsid w:val="4DB1442D"/>
    <w:rsid w:val="4DB46FB2"/>
    <w:rsid w:val="4DCF7EBB"/>
    <w:rsid w:val="4DD3292B"/>
    <w:rsid w:val="4DF80A94"/>
    <w:rsid w:val="4E3C703C"/>
    <w:rsid w:val="4E516B22"/>
    <w:rsid w:val="4E740A62"/>
    <w:rsid w:val="4E854A1D"/>
    <w:rsid w:val="4E8C49D9"/>
    <w:rsid w:val="4E8F31A6"/>
    <w:rsid w:val="4EAA6232"/>
    <w:rsid w:val="4EAD5D22"/>
    <w:rsid w:val="4EC866B8"/>
    <w:rsid w:val="4ECB0E82"/>
    <w:rsid w:val="4F095D32"/>
    <w:rsid w:val="4F1A4882"/>
    <w:rsid w:val="4F3B1580"/>
    <w:rsid w:val="4F3C4DEC"/>
    <w:rsid w:val="4F3D0E54"/>
    <w:rsid w:val="4F6748C4"/>
    <w:rsid w:val="4F6B59C1"/>
    <w:rsid w:val="4F7C5051"/>
    <w:rsid w:val="4FAF7CD7"/>
    <w:rsid w:val="4FDB2778"/>
    <w:rsid w:val="4FE13ED5"/>
    <w:rsid w:val="502245A8"/>
    <w:rsid w:val="504900D3"/>
    <w:rsid w:val="504B134F"/>
    <w:rsid w:val="50631B9A"/>
    <w:rsid w:val="50645F12"/>
    <w:rsid w:val="50781210"/>
    <w:rsid w:val="50847FD5"/>
    <w:rsid w:val="50850D04"/>
    <w:rsid w:val="508D7BB9"/>
    <w:rsid w:val="50EA2B95"/>
    <w:rsid w:val="5119269D"/>
    <w:rsid w:val="514A7858"/>
    <w:rsid w:val="516620A8"/>
    <w:rsid w:val="51750D79"/>
    <w:rsid w:val="5175589A"/>
    <w:rsid w:val="51C70692"/>
    <w:rsid w:val="51F021AD"/>
    <w:rsid w:val="5210145D"/>
    <w:rsid w:val="52126D35"/>
    <w:rsid w:val="522D1654"/>
    <w:rsid w:val="524B1ADA"/>
    <w:rsid w:val="525A1D1D"/>
    <w:rsid w:val="52727DC1"/>
    <w:rsid w:val="52892F5B"/>
    <w:rsid w:val="529C40E3"/>
    <w:rsid w:val="52DE64AA"/>
    <w:rsid w:val="52F61709"/>
    <w:rsid w:val="52F932E4"/>
    <w:rsid w:val="52FE08FA"/>
    <w:rsid w:val="53107713"/>
    <w:rsid w:val="53193986"/>
    <w:rsid w:val="5346028D"/>
    <w:rsid w:val="5354676C"/>
    <w:rsid w:val="537806AC"/>
    <w:rsid w:val="53876B42"/>
    <w:rsid w:val="538D0E7A"/>
    <w:rsid w:val="539354E6"/>
    <w:rsid w:val="53A2397B"/>
    <w:rsid w:val="53AE0572"/>
    <w:rsid w:val="54073585"/>
    <w:rsid w:val="540B1521"/>
    <w:rsid w:val="54241D7B"/>
    <w:rsid w:val="543453A5"/>
    <w:rsid w:val="543A5B6A"/>
    <w:rsid w:val="543C3DD0"/>
    <w:rsid w:val="54663F20"/>
    <w:rsid w:val="54696247"/>
    <w:rsid w:val="5492579E"/>
    <w:rsid w:val="54A346F7"/>
    <w:rsid w:val="54AB3A3A"/>
    <w:rsid w:val="54D275F5"/>
    <w:rsid w:val="54D73AF9"/>
    <w:rsid w:val="54DB7C79"/>
    <w:rsid w:val="54E74E26"/>
    <w:rsid w:val="55083CB2"/>
    <w:rsid w:val="552C5BF2"/>
    <w:rsid w:val="552F56E3"/>
    <w:rsid w:val="5543118E"/>
    <w:rsid w:val="554A6079"/>
    <w:rsid w:val="55580A4D"/>
    <w:rsid w:val="5560589C"/>
    <w:rsid w:val="55690BF5"/>
    <w:rsid w:val="55821CB6"/>
    <w:rsid w:val="559A7000"/>
    <w:rsid w:val="55AF2380"/>
    <w:rsid w:val="55B45B96"/>
    <w:rsid w:val="55DC1770"/>
    <w:rsid w:val="55EB22AC"/>
    <w:rsid w:val="561133F2"/>
    <w:rsid w:val="56244B1C"/>
    <w:rsid w:val="56401CD5"/>
    <w:rsid w:val="56530939"/>
    <w:rsid w:val="56571FFA"/>
    <w:rsid w:val="567A298E"/>
    <w:rsid w:val="567B1298"/>
    <w:rsid w:val="56A92CC7"/>
    <w:rsid w:val="56D204E6"/>
    <w:rsid w:val="570F30D6"/>
    <w:rsid w:val="57212E09"/>
    <w:rsid w:val="572D5632"/>
    <w:rsid w:val="57644ACB"/>
    <w:rsid w:val="5772766D"/>
    <w:rsid w:val="578F4217"/>
    <w:rsid w:val="5798229B"/>
    <w:rsid w:val="57A23F4A"/>
    <w:rsid w:val="57B41ECF"/>
    <w:rsid w:val="57C87729"/>
    <w:rsid w:val="57CE11E3"/>
    <w:rsid w:val="57DC747B"/>
    <w:rsid w:val="581B3CFC"/>
    <w:rsid w:val="581D5AED"/>
    <w:rsid w:val="584F6F9F"/>
    <w:rsid w:val="586D09FC"/>
    <w:rsid w:val="58705DF6"/>
    <w:rsid w:val="588B3A52"/>
    <w:rsid w:val="588D1034"/>
    <w:rsid w:val="58A14202"/>
    <w:rsid w:val="58A24C93"/>
    <w:rsid w:val="58B16794"/>
    <w:rsid w:val="58BD10F2"/>
    <w:rsid w:val="58CD33C2"/>
    <w:rsid w:val="58CD4FF7"/>
    <w:rsid w:val="58E6780D"/>
    <w:rsid w:val="590425EC"/>
    <w:rsid w:val="594B0611"/>
    <w:rsid w:val="594D1A87"/>
    <w:rsid w:val="596469D4"/>
    <w:rsid w:val="59722042"/>
    <w:rsid w:val="597436C4"/>
    <w:rsid w:val="59835FFD"/>
    <w:rsid w:val="59893975"/>
    <w:rsid w:val="59BD375F"/>
    <w:rsid w:val="59C33A3E"/>
    <w:rsid w:val="59C4289D"/>
    <w:rsid w:val="5A000B01"/>
    <w:rsid w:val="5A015E8F"/>
    <w:rsid w:val="5A094754"/>
    <w:rsid w:val="5A1D3D5C"/>
    <w:rsid w:val="5A292701"/>
    <w:rsid w:val="5A435D8A"/>
    <w:rsid w:val="5A477846"/>
    <w:rsid w:val="5A6C03A3"/>
    <w:rsid w:val="5AA31B5F"/>
    <w:rsid w:val="5AA91A93"/>
    <w:rsid w:val="5B232D6D"/>
    <w:rsid w:val="5B523ED9"/>
    <w:rsid w:val="5B5E63DA"/>
    <w:rsid w:val="5B615ECA"/>
    <w:rsid w:val="5B6D0D13"/>
    <w:rsid w:val="5BAF6C35"/>
    <w:rsid w:val="5BB4249E"/>
    <w:rsid w:val="5BBC1D09"/>
    <w:rsid w:val="5BC96C64"/>
    <w:rsid w:val="5BD36021"/>
    <w:rsid w:val="5BFD2097"/>
    <w:rsid w:val="5C320050"/>
    <w:rsid w:val="5C34380B"/>
    <w:rsid w:val="5C3929A3"/>
    <w:rsid w:val="5C441E45"/>
    <w:rsid w:val="5C584438"/>
    <w:rsid w:val="5C7659A5"/>
    <w:rsid w:val="5CBA4C19"/>
    <w:rsid w:val="5CBF10FA"/>
    <w:rsid w:val="5CC347B1"/>
    <w:rsid w:val="5CC91F79"/>
    <w:rsid w:val="5CFC137E"/>
    <w:rsid w:val="5D0D6309"/>
    <w:rsid w:val="5D26561D"/>
    <w:rsid w:val="5D303DA6"/>
    <w:rsid w:val="5D3A4C25"/>
    <w:rsid w:val="5D577585"/>
    <w:rsid w:val="5D843126"/>
    <w:rsid w:val="5D8C2B4C"/>
    <w:rsid w:val="5D9E1657"/>
    <w:rsid w:val="5DAB78D0"/>
    <w:rsid w:val="5DD5494D"/>
    <w:rsid w:val="5DE51034"/>
    <w:rsid w:val="5E0C4813"/>
    <w:rsid w:val="5E0F7E5F"/>
    <w:rsid w:val="5E2558D5"/>
    <w:rsid w:val="5E2F22B0"/>
    <w:rsid w:val="5E402B64"/>
    <w:rsid w:val="5E4F2952"/>
    <w:rsid w:val="5E610596"/>
    <w:rsid w:val="5E761C8C"/>
    <w:rsid w:val="5E94654C"/>
    <w:rsid w:val="5EA507C4"/>
    <w:rsid w:val="5EA93E10"/>
    <w:rsid w:val="5EB34C8F"/>
    <w:rsid w:val="5EC24ED2"/>
    <w:rsid w:val="5F001951"/>
    <w:rsid w:val="5F046685"/>
    <w:rsid w:val="5F092B01"/>
    <w:rsid w:val="5F5F6BC4"/>
    <w:rsid w:val="5F912AC4"/>
    <w:rsid w:val="5FB76081"/>
    <w:rsid w:val="5FD14724"/>
    <w:rsid w:val="5FDC0215"/>
    <w:rsid w:val="5FE71B6D"/>
    <w:rsid w:val="600C4824"/>
    <w:rsid w:val="60153D3C"/>
    <w:rsid w:val="60166651"/>
    <w:rsid w:val="60247FEE"/>
    <w:rsid w:val="603358AD"/>
    <w:rsid w:val="604319BC"/>
    <w:rsid w:val="6051475F"/>
    <w:rsid w:val="6051650D"/>
    <w:rsid w:val="606A3A73"/>
    <w:rsid w:val="606E3D52"/>
    <w:rsid w:val="60700F30"/>
    <w:rsid w:val="607B7DDA"/>
    <w:rsid w:val="60A37B5A"/>
    <w:rsid w:val="60AA20C1"/>
    <w:rsid w:val="60CF38D6"/>
    <w:rsid w:val="60D13AF2"/>
    <w:rsid w:val="60DD4245"/>
    <w:rsid w:val="60E87B88"/>
    <w:rsid w:val="60F36AC5"/>
    <w:rsid w:val="60FD48E7"/>
    <w:rsid w:val="611B6B1B"/>
    <w:rsid w:val="61410207"/>
    <w:rsid w:val="61827822"/>
    <w:rsid w:val="61A76748"/>
    <w:rsid w:val="61B72CE8"/>
    <w:rsid w:val="61D91A2E"/>
    <w:rsid w:val="61DF5D9B"/>
    <w:rsid w:val="61E15FB7"/>
    <w:rsid w:val="621C6FEF"/>
    <w:rsid w:val="621F43E9"/>
    <w:rsid w:val="625247BE"/>
    <w:rsid w:val="6252656D"/>
    <w:rsid w:val="62603351"/>
    <w:rsid w:val="626D15F8"/>
    <w:rsid w:val="62900431"/>
    <w:rsid w:val="62A72D5C"/>
    <w:rsid w:val="62B731FE"/>
    <w:rsid w:val="62BD2580"/>
    <w:rsid w:val="62C03E1E"/>
    <w:rsid w:val="62F9596F"/>
    <w:rsid w:val="62FF4946"/>
    <w:rsid w:val="63023C80"/>
    <w:rsid w:val="630755A9"/>
    <w:rsid w:val="634405AB"/>
    <w:rsid w:val="635E2BFF"/>
    <w:rsid w:val="63685D38"/>
    <w:rsid w:val="636D3AA1"/>
    <w:rsid w:val="63807109"/>
    <w:rsid w:val="638766EA"/>
    <w:rsid w:val="63A31776"/>
    <w:rsid w:val="63B84AF5"/>
    <w:rsid w:val="63F0428F"/>
    <w:rsid w:val="640D3093"/>
    <w:rsid w:val="641937E6"/>
    <w:rsid w:val="64395C36"/>
    <w:rsid w:val="643B7C00"/>
    <w:rsid w:val="64485E79"/>
    <w:rsid w:val="64504D2E"/>
    <w:rsid w:val="6457430E"/>
    <w:rsid w:val="64794284"/>
    <w:rsid w:val="64AC6408"/>
    <w:rsid w:val="64B654D9"/>
    <w:rsid w:val="64C37BF6"/>
    <w:rsid w:val="64C5686B"/>
    <w:rsid w:val="64CE229F"/>
    <w:rsid w:val="64E5191A"/>
    <w:rsid w:val="64F22548"/>
    <w:rsid w:val="65033676"/>
    <w:rsid w:val="653A7EB8"/>
    <w:rsid w:val="65442BCD"/>
    <w:rsid w:val="65501489"/>
    <w:rsid w:val="65610558"/>
    <w:rsid w:val="657D5FF6"/>
    <w:rsid w:val="658D71C3"/>
    <w:rsid w:val="659106E2"/>
    <w:rsid w:val="65A672FB"/>
    <w:rsid w:val="65AB236D"/>
    <w:rsid w:val="65B5753E"/>
    <w:rsid w:val="65B8080F"/>
    <w:rsid w:val="65DD7B95"/>
    <w:rsid w:val="65DE4CE7"/>
    <w:rsid w:val="65F02D51"/>
    <w:rsid w:val="65F75DA9"/>
    <w:rsid w:val="65F8742B"/>
    <w:rsid w:val="66014D57"/>
    <w:rsid w:val="66032238"/>
    <w:rsid w:val="66127ECD"/>
    <w:rsid w:val="6615622F"/>
    <w:rsid w:val="661F0E5C"/>
    <w:rsid w:val="662276B1"/>
    <w:rsid w:val="662841B4"/>
    <w:rsid w:val="66483EC5"/>
    <w:rsid w:val="66704DB4"/>
    <w:rsid w:val="66805D9E"/>
    <w:rsid w:val="6692162D"/>
    <w:rsid w:val="669F17D2"/>
    <w:rsid w:val="66A04F95"/>
    <w:rsid w:val="66AF3F8D"/>
    <w:rsid w:val="66B26720"/>
    <w:rsid w:val="66BB0240"/>
    <w:rsid w:val="66F61BBC"/>
    <w:rsid w:val="67102453"/>
    <w:rsid w:val="6716400D"/>
    <w:rsid w:val="6734799D"/>
    <w:rsid w:val="673D77EB"/>
    <w:rsid w:val="67566AFF"/>
    <w:rsid w:val="679715F1"/>
    <w:rsid w:val="67CE6D6C"/>
    <w:rsid w:val="67DD4A48"/>
    <w:rsid w:val="68195B7C"/>
    <w:rsid w:val="682E182A"/>
    <w:rsid w:val="68372ABE"/>
    <w:rsid w:val="6844104D"/>
    <w:rsid w:val="684A05D2"/>
    <w:rsid w:val="684D1CB0"/>
    <w:rsid w:val="685F3791"/>
    <w:rsid w:val="686C2F70"/>
    <w:rsid w:val="68721717"/>
    <w:rsid w:val="68866F70"/>
    <w:rsid w:val="68A67F29"/>
    <w:rsid w:val="68B15960"/>
    <w:rsid w:val="68C15CCA"/>
    <w:rsid w:val="68CA77A4"/>
    <w:rsid w:val="68E5638C"/>
    <w:rsid w:val="68F37058"/>
    <w:rsid w:val="68F62689"/>
    <w:rsid w:val="690305C1"/>
    <w:rsid w:val="691427CE"/>
    <w:rsid w:val="69350DCE"/>
    <w:rsid w:val="695452C0"/>
    <w:rsid w:val="69717C20"/>
    <w:rsid w:val="6975025C"/>
    <w:rsid w:val="697D619C"/>
    <w:rsid w:val="697E5CFD"/>
    <w:rsid w:val="69A578CA"/>
    <w:rsid w:val="69BB0E9B"/>
    <w:rsid w:val="69DD7064"/>
    <w:rsid w:val="69E15F06"/>
    <w:rsid w:val="69EE3D79"/>
    <w:rsid w:val="69F61D98"/>
    <w:rsid w:val="69F820EF"/>
    <w:rsid w:val="6A0E091D"/>
    <w:rsid w:val="6A10568B"/>
    <w:rsid w:val="6A2D5A96"/>
    <w:rsid w:val="6A731776"/>
    <w:rsid w:val="6AA10091"/>
    <w:rsid w:val="6ABA50AD"/>
    <w:rsid w:val="6ABB5F09"/>
    <w:rsid w:val="6ABC175A"/>
    <w:rsid w:val="6AC2622E"/>
    <w:rsid w:val="6ADE12E5"/>
    <w:rsid w:val="6AFB6823"/>
    <w:rsid w:val="6B006918"/>
    <w:rsid w:val="6B58725B"/>
    <w:rsid w:val="6B5B34AA"/>
    <w:rsid w:val="6BA94127"/>
    <w:rsid w:val="6BD821D8"/>
    <w:rsid w:val="6BFE46EA"/>
    <w:rsid w:val="6C015324"/>
    <w:rsid w:val="6C171763"/>
    <w:rsid w:val="6C3026F9"/>
    <w:rsid w:val="6C335661"/>
    <w:rsid w:val="6C4B6506"/>
    <w:rsid w:val="6C5775A1"/>
    <w:rsid w:val="6C7F53F2"/>
    <w:rsid w:val="6C891725"/>
    <w:rsid w:val="6C8B20CC"/>
    <w:rsid w:val="6C953C26"/>
    <w:rsid w:val="6C98618F"/>
    <w:rsid w:val="6C9A56E0"/>
    <w:rsid w:val="6CC67436"/>
    <w:rsid w:val="6CE16E6B"/>
    <w:rsid w:val="6D047526"/>
    <w:rsid w:val="6D05717D"/>
    <w:rsid w:val="6D11069A"/>
    <w:rsid w:val="6D390A55"/>
    <w:rsid w:val="6D45389E"/>
    <w:rsid w:val="6D464356"/>
    <w:rsid w:val="6D616AB2"/>
    <w:rsid w:val="6D7C6B93"/>
    <w:rsid w:val="6D8A6279"/>
    <w:rsid w:val="6D9A36AA"/>
    <w:rsid w:val="6DC742B3"/>
    <w:rsid w:val="6DD24A05"/>
    <w:rsid w:val="6DD54955"/>
    <w:rsid w:val="6E217E67"/>
    <w:rsid w:val="6E427DDD"/>
    <w:rsid w:val="6E645FA5"/>
    <w:rsid w:val="6E6F1FC3"/>
    <w:rsid w:val="6E7245F6"/>
    <w:rsid w:val="6E7B3836"/>
    <w:rsid w:val="6E91041D"/>
    <w:rsid w:val="6EB71B5D"/>
    <w:rsid w:val="6ED44F12"/>
    <w:rsid w:val="6EDA6267"/>
    <w:rsid w:val="6EF03395"/>
    <w:rsid w:val="6F011FAA"/>
    <w:rsid w:val="6F0671CF"/>
    <w:rsid w:val="6F122BD2"/>
    <w:rsid w:val="6F280D81"/>
    <w:rsid w:val="6F447A17"/>
    <w:rsid w:val="6F525DFE"/>
    <w:rsid w:val="6F5E47A3"/>
    <w:rsid w:val="6F743FC6"/>
    <w:rsid w:val="6F773253"/>
    <w:rsid w:val="6F79782E"/>
    <w:rsid w:val="6FAA3E8C"/>
    <w:rsid w:val="6FBC771B"/>
    <w:rsid w:val="6FBD596D"/>
    <w:rsid w:val="6FC50CC6"/>
    <w:rsid w:val="6FC54B27"/>
    <w:rsid w:val="6FC82564"/>
    <w:rsid w:val="6FCC5BB0"/>
    <w:rsid w:val="6FCF38F2"/>
    <w:rsid w:val="6FEC0000"/>
    <w:rsid w:val="704217E5"/>
    <w:rsid w:val="70433998"/>
    <w:rsid w:val="70441BEA"/>
    <w:rsid w:val="705F07D2"/>
    <w:rsid w:val="70622071"/>
    <w:rsid w:val="70673B2B"/>
    <w:rsid w:val="7076354C"/>
    <w:rsid w:val="707E56F3"/>
    <w:rsid w:val="70A33376"/>
    <w:rsid w:val="70AF1919"/>
    <w:rsid w:val="70B256C9"/>
    <w:rsid w:val="70B5578B"/>
    <w:rsid w:val="70B86135"/>
    <w:rsid w:val="70F6444B"/>
    <w:rsid w:val="71152000"/>
    <w:rsid w:val="71463740"/>
    <w:rsid w:val="716B13F9"/>
    <w:rsid w:val="717604C9"/>
    <w:rsid w:val="71C254BD"/>
    <w:rsid w:val="71D82F37"/>
    <w:rsid w:val="71D92806"/>
    <w:rsid w:val="71E01DE7"/>
    <w:rsid w:val="71E73175"/>
    <w:rsid w:val="71FD592B"/>
    <w:rsid w:val="72127AC6"/>
    <w:rsid w:val="721756F7"/>
    <w:rsid w:val="72281098"/>
    <w:rsid w:val="7231680E"/>
    <w:rsid w:val="726245AA"/>
    <w:rsid w:val="72691DDC"/>
    <w:rsid w:val="72964253"/>
    <w:rsid w:val="72BD5AD1"/>
    <w:rsid w:val="72C87BB3"/>
    <w:rsid w:val="72E01973"/>
    <w:rsid w:val="73014D0C"/>
    <w:rsid w:val="730D09BA"/>
    <w:rsid w:val="731004AA"/>
    <w:rsid w:val="73465C7A"/>
    <w:rsid w:val="73852C46"/>
    <w:rsid w:val="73A40AD9"/>
    <w:rsid w:val="73AD037C"/>
    <w:rsid w:val="73BC3875"/>
    <w:rsid w:val="73F31A37"/>
    <w:rsid w:val="74116287"/>
    <w:rsid w:val="741915E0"/>
    <w:rsid w:val="74212243"/>
    <w:rsid w:val="742676C4"/>
    <w:rsid w:val="74454183"/>
    <w:rsid w:val="745D4D21"/>
    <w:rsid w:val="74633508"/>
    <w:rsid w:val="74786307"/>
    <w:rsid w:val="749869A9"/>
    <w:rsid w:val="750202C6"/>
    <w:rsid w:val="7510653F"/>
    <w:rsid w:val="75217F5A"/>
    <w:rsid w:val="752F342A"/>
    <w:rsid w:val="75615B7C"/>
    <w:rsid w:val="7577150B"/>
    <w:rsid w:val="75825F39"/>
    <w:rsid w:val="75884065"/>
    <w:rsid w:val="75976C60"/>
    <w:rsid w:val="75AD0232"/>
    <w:rsid w:val="75B37797"/>
    <w:rsid w:val="75C509F0"/>
    <w:rsid w:val="75DC28C5"/>
    <w:rsid w:val="75DF5F11"/>
    <w:rsid w:val="75FA6E3A"/>
    <w:rsid w:val="7601232C"/>
    <w:rsid w:val="76051E1C"/>
    <w:rsid w:val="7626365B"/>
    <w:rsid w:val="764346F2"/>
    <w:rsid w:val="764566BC"/>
    <w:rsid w:val="764741E2"/>
    <w:rsid w:val="764C67AC"/>
    <w:rsid w:val="76915F49"/>
    <w:rsid w:val="76AF7FDA"/>
    <w:rsid w:val="76BB6308"/>
    <w:rsid w:val="76CB6D18"/>
    <w:rsid w:val="76CD220E"/>
    <w:rsid w:val="76D0242A"/>
    <w:rsid w:val="76D31F1A"/>
    <w:rsid w:val="76ED37EF"/>
    <w:rsid w:val="770F21D1"/>
    <w:rsid w:val="77467F89"/>
    <w:rsid w:val="774E15A1"/>
    <w:rsid w:val="775F062D"/>
    <w:rsid w:val="77737259"/>
    <w:rsid w:val="777D3C34"/>
    <w:rsid w:val="77BF7315"/>
    <w:rsid w:val="77C70849"/>
    <w:rsid w:val="77CE623E"/>
    <w:rsid w:val="77D45F4A"/>
    <w:rsid w:val="77D606A7"/>
    <w:rsid w:val="78532959"/>
    <w:rsid w:val="786646C8"/>
    <w:rsid w:val="787768D5"/>
    <w:rsid w:val="78852F25"/>
    <w:rsid w:val="78934A73"/>
    <w:rsid w:val="78A7019A"/>
    <w:rsid w:val="78B813C8"/>
    <w:rsid w:val="78C0366A"/>
    <w:rsid w:val="78DF6F7C"/>
    <w:rsid w:val="79052133"/>
    <w:rsid w:val="7908577F"/>
    <w:rsid w:val="790A6E9A"/>
    <w:rsid w:val="791870B6"/>
    <w:rsid w:val="79224A93"/>
    <w:rsid w:val="79273E57"/>
    <w:rsid w:val="796D5B63"/>
    <w:rsid w:val="797A042B"/>
    <w:rsid w:val="797B7098"/>
    <w:rsid w:val="79814C5C"/>
    <w:rsid w:val="798D055E"/>
    <w:rsid w:val="79A100AE"/>
    <w:rsid w:val="79A27C7A"/>
    <w:rsid w:val="79B2097F"/>
    <w:rsid w:val="79BA3B0E"/>
    <w:rsid w:val="7A083C89"/>
    <w:rsid w:val="7A1F0FD2"/>
    <w:rsid w:val="7A287679"/>
    <w:rsid w:val="7A4E3666"/>
    <w:rsid w:val="7A992B33"/>
    <w:rsid w:val="7AAD65DE"/>
    <w:rsid w:val="7AB2129A"/>
    <w:rsid w:val="7ABB6962"/>
    <w:rsid w:val="7AD973D3"/>
    <w:rsid w:val="7AF4539C"/>
    <w:rsid w:val="7B095F0A"/>
    <w:rsid w:val="7B0A1A68"/>
    <w:rsid w:val="7B0C59FB"/>
    <w:rsid w:val="7B494559"/>
    <w:rsid w:val="7B8657AD"/>
    <w:rsid w:val="7B9F061D"/>
    <w:rsid w:val="7BA11745"/>
    <w:rsid w:val="7BA63759"/>
    <w:rsid w:val="7BAE260E"/>
    <w:rsid w:val="7BBA79BE"/>
    <w:rsid w:val="7BBFE36C"/>
    <w:rsid w:val="7BD77DB7"/>
    <w:rsid w:val="7BF070CA"/>
    <w:rsid w:val="7BFC15CB"/>
    <w:rsid w:val="7C013D85"/>
    <w:rsid w:val="7C06244A"/>
    <w:rsid w:val="7C0E7550"/>
    <w:rsid w:val="7C556F2D"/>
    <w:rsid w:val="7C63164A"/>
    <w:rsid w:val="7C662C4B"/>
    <w:rsid w:val="7C67006F"/>
    <w:rsid w:val="7C7F3FAA"/>
    <w:rsid w:val="7C812849"/>
    <w:rsid w:val="7CA85021"/>
    <w:rsid w:val="7CB32C8C"/>
    <w:rsid w:val="7CEC4756"/>
    <w:rsid w:val="7CF229CE"/>
    <w:rsid w:val="7D080444"/>
    <w:rsid w:val="7D0A41BC"/>
    <w:rsid w:val="7D241628"/>
    <w:rsid w:val="7D540579"/>
    <w:rsid w:val="7D6F2271"/>
    <w:rsid w:val="7D733ECF"/>
    <w:rsid w:val="7D7576AD"/>
    <w:rsid w:val="7D99109C"/>
    <w:rsid w:val="7DA261A2"/>
    <w:rsid w:val="7DB3215D"/>
    <w:rsid w:val="7DB40A20"/>
    <w:rsid w:val="7DC2451F"/>
    <w:rsid w:val="7DC720B2"/>
    <w:rsid w:val="7DCC76C3"/>
    <w:rsid w:val="7DE7143A"/>
    <w:rsid w:val="7DEE7D58"/>
    <w:rsid w:val="7DF10ED8"/>
    <w:rsid w:val="7E094473"/>
    <w:rsid w:val="7E136A50"/>
    <w:rsid w:val="7E150331"/>
    <w:rsid w:val="7E1E7F1F"/>
    <w:rsid w:val="7E49765A"/>
    <w:rsid w:val="7E4C0FEB"/>
    <w:rsid w:val="7E6671D0"/>
    <w:rsid w:val="7E6A3164"/>
    <w:rsid w:val="7E77762F"/>
    <w:rsid w:val="7E7F0292"/>
    <w:rsid w:val="7E953F59"/>
    <w:rsid w:val="7E957AB5"/>
    <w:rsid w:val="7EA857C5"/>
    <w:rsid w:val="7EBE0C5A"/>
    <w:rsid w:val="7EE35019"/>
    <w:rsid w:val="7EFB3C47"/>
    <w:rsid w:val="7F21759B"/>
    <w:rsid w:val="7F60111F"/>
    <w:rsid w:val="7F6271D2"/>
    <w:rsid w:val="7F74591C"/>
    <w:rsid w:val="7F850ECB"/>
    <w:rsid w:val="7F9E2999"/>
    <w:rsid w:val="7FAA2F0C"/>
    <w:rsid w:val="7FBA3C77"/>
    <w:rsid w:val="7FC75190"/>
    <w:rsid w:val="A7CFE651"/>
    <w:rsid w:val="BEDBD596"/>
    <w:rsid w:val="CEB62A15"/>
    <w:rsid w:val="DCFD2C93"/>
    <w:rsid w:val="DDFF371E"/>
    <w:rsid w:val="DF77DDF5"/>
    <w:rsid w:val="DF7FC15B"/>
    <w:rsid w:val="E3FDFAD4"/>
    <w:rsid w:val="F6EFA82F"/>
    <w:rsid w:val="FB33D45F"/>
    <w:rsid w:val="FF3CA67D"/>
    <w:rsid w:val="FFE560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paragraph" w:styleId="2">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next w:val="4"/>
    <w:qFormat/>
    <w:uiPriority w:val="0"/>
    <w:pPr>
      <w:widowControl w:val="0"/>
      <w:spacing w:after="120"/>
      <w:jc w:val="both"/>
    </w:pPr>
    <w:rPr>
      <w:rFonts w:ascii="Times New Roman" w:hAnsi="Times New Roman" w:eastAsia="宋体" w:cs="Times New Roman"/>
      <w:kern w:val="2"/>
      <w:sz w:val="21"/>
      <w:szCs w:val="24"/>
      <w:lang w:val="en-US" w:eastAsia="zh-CN" w:bidi="ar-SA"/>
    </w:rPr>
  </w:style>
  <w:style w:type="paragraph" w:customStyle="1" w:styleId="4">
    <w:name w:val="Default"/>
    <w:autoRedefine/>
    <w:qFormat/>
    <w:uiPriority w:val="0"/>
    <w:pPr>
      <w:widowControl w:val="0"/>
      <w:autoSpaceDE w:val="0"/>
      <w:autoSpaceDN w:val="0"/>
      <w:adjustRightInd w:val="0"/>
    </w:pPr>
    <w:rPr>
      <w:rFonts w:ascii="黑体" w:hAnsi="Times New Roman" w:eastAsia="黑体" w:cs="Times New Roman"/>
      <w:kern w:val="0"/>
      <w:sz w:val="20"/>
      <w:szCs w:val="20"/>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First Indent"/>
    <w:unhideWhenUsed/>
    <w:qFormat/>
    <w:uiPriority w:val="99"/>
    <w:pPr>
      <w:widowControl w:val="0"/>
      <w:spacing w:after="120" w:line="400" w:lineRule="atLeast"/>
      <w:ind w:firstLine="426"/>
      <w:jc w:val="both"/>
    </w:pPr>
    <w:rPr>
      <w:rFonts w:ascii="Times New Roman" w:hAnsi="Times New Roman" w:eastAsia="宋体" w:cs="Times New Roman"/>
      <w:kern w:val="2"/>
      <w:sz w:val="24"/>
      <w:szCs w:val="20"/>
      <w:lang w:val="en-US" w:eastAsia="zh-CN" w:bidi="ar-SA"/>
    </w:rPr>
  </w:style>
  <w:style w:type="paragraph" w:customStyle="1" w:styleId="10">
    <w:name w:val="D&amp;L"/>
    <w:basedOn w:val="6"/>
    <w:qFormat/>
    <w:uiPriority w:val="0"/>
    <w:pPr>
      <w:pBdr>
        <w:bottom w:val="thinThickSmallGap" w:color="auto" w:sz="18" w:space="1"/>
      </w:pBdr>
      <w:adjustRightInd w:val="0"/>
      <w:snapToGrid/>
      <w:spacing w:line="240" w:lineRule="atLeast"/>
      <w:textAlignment w:val="baseline"/>
    </w:pPr>
    <w:rPr>
      <w:kern w:val="0"/>
      <w:sz w:val="24"/>
      <w:szCs w:val="20"/>
      <w:lang w:val="zh-CN"/>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Words>9159</Words>
  <Characters>9715</Characters>
  <TotalTime>1</TotalTime>
  <ScaleCrop>false</ScaleCrop>
  <LinksUpToDate>false</LinksUpToDate>
  <CharactersWithSpaces>9957</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2026-03-23T02:19:00Z</dcterms:created>
  <dc:creator>Administrator</dc:creator>
  <cp:lastModifiedBy>小肖</cp:lastModifiedBy>
  <dcterms:modified xsi:type="dcterms:W3CDTF">2026-05-13T08:20:43Z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eyJoZGlkIjoiNmFjOTI4MmVmMWUyNDA0OGIyNDVmODczMjRjNDRjOGYiLCJ1c2VySWQiOiIxMTcxMTQwNjA1In0=</vt:lpwstr>
  </property>
  <property fmtid="{D5CDD505-2E9C-101B-9397-08002B2CF9AE}" pid="3" name="KSOProductBuildVer">
    <vt:lpwstr>2052-12.1.0.25865</vt:lpwstr>
  </property>
  <property fmtid="{D5CDD505-2E9C-101B-9397-08002B2CF9AE}" pid="4" name="ICV">
    <vt:lpwstr>98E323B301314D84B74211978C95BF9F_13</vt:lpwstr>
  </property>
</Properties>
</file>